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D53" w:rsidRDefault="00701D53" w:rsidP="00701D53">
      <w:pPr>
        <w:adjustRightInd w:val="0"/>
        <w:snapToGrid w:val="0"/>
        <w:spacing w:line="580" w:lineRule="exact"/>
        <w:rPr>
          <w:rFonts w:ascii="黑体" w:eastAsia="黑体" w:hAnsi="黑体" w:cs="黑体"/>
          <w:sz w:val="32"/>
          <w:szCs w:val="32"/>
          <w:shd w:val="clear" w:color="auto" w:fill="FFFFFF"/>
        </w:rPr>
      </w:pPr>
      <w:r w:rsidRPr="00C61288">
        <w:rPr>
          <w:rFonts w:ascii="黑体" w:eastAsia="黑体" w:hAnsi="黑体" w:cs="黑体"/>
          <w:sz w:val="32"/>
          <w:szCs w:val="32"/>
          <w:shd w:val="clear" w:color="auto" w:fill="FFFFFF"/>
        </w:rPr>
        <w:t>附件1</w:t>
      </w:r>
    </w:p>
    <w:p w:rsidR="00701D53" w:rsidRPr="00C61288" w:rsidRDefault="00701D53" w:rsidP="00701D53">
      <w:pPr>
        <w:adjustRightInd w:val="0"/>
        <w:snapToGrid w:val="0"/>
        <w:spacing w:line="580" w:lineRule="exact"/>
        <w:rPr>
          <w:rFonts w:ascii="黑体" w:eastAsia="黑体" w:hAnsi="黑体" w:cs="黑体" w:hint="eastAsia"/>
          <w:sz w:val="32"/>
          <w:szCs w:val="32"/>
          <w:shd w:val="clear" w:color="auto" w:fill="FFFFFF"/>
        </w:rPr>
      </w:pPr>
    </w:p>
    <w:p w:rsidR="00701D53" w:rsidRDefault="00701D53" w:rsidP="00701D53">
      <w:pPr>
        <w:pStyle w:val="2"/>
        <w:widowControl/>
        <w:adjustRightInd w:val="0"/>
        <w:snapToGrid w:val="0"/>
        <w:spacing w:beforeAutospacing="0" w:afterAutospacing="0" w:line="580" w:lineRule="exact"/>
        <w:jc w:val="center"/>
        <w:rPr>
          <w:rFonts w:cs="宋体" w:hint="default"/>
          <w:bCs/>
          <w:sz w:val="44"/>
          <w:szCs w:val="44"/>
          <w:shd w:val="clear" w:color="auto" w:fill="FFFFFF"/>
        </w:rPr>
      </w:pPr>
      <w:r>
        <w:rPr>
          <w:rFonts w:cs="宋体"/>
          <w:bCs/>
          <w:sz w:val="44"/>
          <w:szCs w:val="44"/>
          <w:shd w:val="clear" w:color="auto" w:fill="FFFFFF"/>
        </w:rPr>
        <w:t>大连商品交易所聚氯乙烯期货业务细则</w:t>
      </w:r>
    </w:p>
    <w:p w:rsidR="00701D53" w:rsidRPr="00C61288" w:rsidRDefault="00701D53" w:rsidP="00701D53">
      <w:pPr>
        <w:rPr>
          <w:rFonts w:hint="eastAsia"/>
          <w:sz w:val="44"/>
          <w:szCs w:val="44"/>
        </w:rPr>
      </w:pPr>
    </w:p>
    <w:p w:rsidR="00701D53" w:rsidRDefault="00701D53" w:rsidP="00701D53">
      <w:pPr>
        <w:pStyle w:val="a7"/>
        <w:widowControl/>
        <w:adjustRightInd w:val="0"/>
        <w:snapToGrid w:val="0"/>
        <w:spacing w:beforeAutospacing="0" w:afterAutospacing="0" w:line="580" w:lineRule="exact"/>
        <w:jc w:val="center"/>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第一章 总则</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第一条 为规范大连商品交易所（以下简称交易所）聚氯乙烯期货合约交易行为，根据《大连商品交易所交易规则》和《大连商品交易所聚氯乙烯期货合约》，制定本细则。</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第二条 交易所、会员、客户、指定交割仓库、指定质量检验机构、指定期货保证金存管银行及期货市场其他参与者应当遵守本细则。</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第三条 本细则未规定的，按照交易所相关业务规则的规定执行。</w:t>
      </w:r>
    </w:p>
    <w:p w:rsidR="00701D53" w:rsidRDefault="00701D53" w:rsidP="00701D53">
      <w:pPr>
        <w:pStyle w:val="a7"/>
        <w:widowControl/>
        <w:adjustRightInd w:val="0"/>
        <w:snapToGrid w:val="0"/>
        <w:spacing w:beforeAutospacing="0" w:afterAutospacing="0" w:line="580" w:lineRule="exact"/>
        <w:jc w:val="center"/>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第二章 合约主要条款和相关参数</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第四条 聚氯乙烯期货合约标准品为质量标准符合国家标准《悬浮法通用型聚氯乙烯树脂（GB/T 5761-2018）》的SG5型一等品（干流性指标不做要求）。优等品作为替代品允许交割，优等品和一等品之间不设等级升贴水。</w:t>
      </w:r>
    </w:p>
    <w:p w:rsidR="00701D53" w:rsidRDefault="00701D53" w:rsidP="00701D53">
      <w:pPr>
        <w:pStyle w:val="a7"/>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聚氯乙烯交割品应当是交易所公布的生产厂家生产的交割注册品牌的商品。满足交易所规定条件的品牌可以申请免检注册品牌。交割注册品牌和免检注册品牌管理的办法由交易所另行规定。交割注册品牌、免检注册品牌、相关生产厂家以及品牌升贴水由交易所另行公布。</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lastRenderedPageBreak/>
        <w:t xml:space="preserve">　　聚氯乙烯期货合约品牌升贴水的差价款由货主同指定交割仓库结算。</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免检注册品牌的聚氯乙烯入库时，货主能够提供生产厂家出具的产品质量证明原件及交易所规定的其他材料的，可免于质量检验。产品质量证明应载有生产厂家、牌号、批号、签证日期、质量测试项目、质量测试结果和质量检验结论等信息。</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第五条 聚氯乙烯期货合约采用实物交割。</w:t>
      </w:r>
    </w:p>
    <w:p w:rsidR="00701D53" w:rsidRDefault="00701D53" w:rsidP="00701D53">
      <w:pPr>
        <w:pStyle w:val="a7"/>
        <w:widowControl/>
        <w:adjustRightInd w:val="0"/>
        <w:snapToGrid w:val="0"/>
        <w:spacing w:beforeAutospacing="0" w:afterAutospacing="0" w:line="580" w:lineRule="exact"/>
        <w:ind w:firstLine="651"/>
        <w:jc w:val="both"/>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第六条 聚氯乙烯指定交割仓库分为基准交割仓库和非基准交割仓库（详见附件《大连商品交易所聚氯乙烯指定交割仓库名录》），交易所可视情况对聚氯乙烯指定交割仓库进行调整。</w:t>
      </w:r>
    </w:p>
    <w:p w:rsidR="00701D53" w:rsidRDefault="00701D53" w:rsidP="00701D53">
      <w:pPr>
        <w:pStyle w:val="a7"/>
        <w:widowControl/>
        <w:adjustRightInd w:val="0"/>
        <w:snapToGrid w:val="0"/>
        <w:spacing w:beforeAutospacing="0" w:afterAutospacing="0" w:line="580" w:lineRule="exact"/>
        <w:ind w:firstLine="651"/>
        <w:jc w:val="both"/>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聚氯乙烯指定交割仓库分为集团交割仓库和非集团交割仓库。集团交割仓库下设分库，分库经集团交割仓库授权开具标准仓单，标准仓单相关权利义务由集团交割仓库承担。</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第七条 聚氯乙烯期货合约的合约月份为1、2、3、4、5、6、7、8、9、10、11、12月。</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第八条 聚氯乙烯期货合约的交易单位为5吨/手。</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第九条 聚氯乙烯期货合约的报价单位为元（人民币）/吨。</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第十条 聚氯乙烯期货合约的最小变动价位为1元/吨。</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第十一条 聚氯乙烯期货合约的交易指令每次最大下单数量为1000手。</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lastRenderedPageBreak/>
        <w:t xml:space="preserve">　　第十二条 聚氯乙烯期货合约的交易保证金标准、涨跌停板幅度和持仓限额，按照《大连商品交易所风险管理办法》相关规定执行。</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第十三条 聚氯乙烯期货合约的最后交易日为合约月份第10个交易日。</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第十四条 聚氯乙烯期货合约的最后交割日为最后交易日后第3个交易日。</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第十五条 聚氯乙烯期货合约的交易代码为V。</w:t>
      </w:r>
    </w:p>
    <w:p w:rsidR="00701D53" w:rsidRDefault="00701D53" w:rsidP="00701D53">
      <w:pPr>
        <w:pStyle w:val="a7"/>
        <w:widowControl/>
        <w:adjustRightInd w:val="0"/>
        <w:snapToGrid w:val="0"/>
        <w:spacing w:beforeAutospacing="0" w:afterAutospacing="0" w:line="580" w:lineRule="exact"/>
        <w:jc w:val="center"/>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第三章 交割与结算</w:t>
      </w:r>
    </w:p>
    <w:p w:rsidR="00701D53" w:rsidRDefault="00701D53" w:rsidP="00701D53">
      <w:pPr>
        <w:pStyle w:val="a7"/>
        <w:widowControl/>
        <w:adjustRightInd w:val="0"/>
        <w:snapToGrid w:val="0"/>
        <w:spacing w:beforeAutospacing="0" w:afterAutospacing="0" w:line="580" w:lineRule="exact"/>
        <w:jc w:val="center"/>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第一节 一般规定</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第十六条 聚氯乙烯期货合约适用期货转现货（以下简称期转现）和一次性交割，具体流程见《大连商品交易所交割管理办法》、《大连商品交易所结算管理办法》相关规定。</w:t>
      </w:r>
    </w:p>
    <w:p w:rsidR="00701D53" w:rsidRDefault="00701D53" w:rsidP="00701D53">
      <w:pPr>
        <w:pStyle w:val="a7"/>
        <w:widowControl/>
        <w:adjustRightInd w:val="0"/>
        <w:snapToGrid w:val="0"/>
        <w:spacing w:beforeAutospacing="0" w:afterAutospacing="0" w:line="580" w:lineRule="exact"/>
        <w:ind w:firstLine="651"/>
        <w:jc w:val="both"/>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第十七条 聚氯乙烯标准仓单分为仓库标准仓单和厂库标准仓单。</w:t>
      </w:r>
    </w:p>
    <w:p w:rsidR="00701D53" w:rsidRDefault="00701D53" w:rsidP="00701D53">
      <w:pPr>
        <w:pStyle w:val="a7"/>
        <w:widowControl/>
        <w:adjustRightInd w:val="0"/>
        <w:snapToGrid w:val="0"/>
        <w:spacing w:beforeAutospacing="0" w:afterAutospacing="0" w:line="580" w:lineRule="exact"/>
        <w:ind w:firstLine="651"/>
        <w:jc w:val="both"/>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聚氯乙烯集团交割仓库的分库可以开具仓库标准仓单或者厂库标准仓单。分库开具仓库标准仓单的，该分库的交割业务办理参照适用聚氯乙烯仓库有关规定。分库开具厂库标准仓单的，集团交割仓库应当向交易所提供交易所认可的银行履约担保函或者其它担保方式，该分库的交割业务办理参照适用聚氯乙烯厂库有关规定。</w:t>
      </w:r>
    </w:p>
    <w:p w:rsidR="00701D53" w:rsidRDefault="00701D53" w:rsidP="00701D53">
      <w:pPr>
        <w:pStyle w:val="a7"/>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第十八条 聚氯乙烯交割品要求使用原生产厂家或者其认可的包装，包装袋上应标明商标、产品名称、产品标准号、净质量、生产厂名称及地址，并标识产品型号。</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lastRenderedPageBreak/>
        <w:t xml:space="preserve">　　包装材料为内衬塑料薄膜袋的牛皮纸袋、聚丙烯编制袋或牛皮纸与聚丙烯编制物复合袋，应保证产品在正常贮运中包装不破损，产品不被污染，不泄漏。每袋净含量25±0.25kg，每吨40袋，不计溢短。</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第十九条 聚氯乙烯包装物价格包含在聚氯乙烯期货合约价格中。</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第二十条 聚氯乙烯交割开具增值税专用发票。</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第二十一条 聚氯乙烯交割手续费、取样及检验费、仓储费等费用由交易所另行规定并公布，无损耗费。</w:t>
      </w:r>
    </w:p>
    <w:p w:rsidR="00701D53" w:rsidRDefault="00701D53" w:rsidP="00701D53">
      <w:pPr>
        <w:pStyle w:val="a7"/>
        <w:widowControl/>
        <w:adjustRightInd w:val="0"/>
        <w:snapToGrid w:val="0"/>
        <w:spacing w:beforeAutospacing="0" w:afterAutospacing="0" w:line="580" w:lineRule="exact"/>
        <w:jc w:val="center"/>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第二节 标准仓单交割</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第二十二条 标准仓单生成、流通、注销等相关业务，本细则未规定的，适用《大连商品交易所标准仓单管理办法》相关规定。</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第二十三条 会员办理交割预报时，应当按30元/吨向交易所交纳交割预报定金。</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第二十四条 办理完交割预报的货主在发货前，应当将车船号、品种、数量、到货时间等通知指定交割仓库，指定交割仓库应当合理安排接收商品入库。</w:t>
      </w:r>
    </w:p>
    <w:p w:rsidR="00701D53" w:rsidRDefault="00701D53" w:rsidP="00701D53">
      <w:pPr>
        <w:pStyle w:val="a7"/>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第二十五条 指定交割仓库应当委托交易所指定的质量检验机构对入库商品进行质量检验。检验费用由货主承担，由指定交割仓库负责转交。</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第二十六条 质量检验应当以同一厂家、同一牌号进行组批，每批300吨，超过300吨的应分若干批检验，不足300吨的按一批检验。</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lastRenderedPageBreak/>
        <w:t xml:space="preserve">　　采样、试验方法按照GB/T 5761-2018相关规定执行。</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第二十七条 交易所指定的质量检验机构完成入库聚氯乙烯质量检验后，应当出具检验报告正本一份，副本三份，并将正本提交指定交割仓库，向交易所和货主分别提交副本一份。</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除免检入库的商品外，货主或者指定交割仓库对商品检验报告的检验结论有异议的，应当在接到商品检验报告之日起10个工作日内以书面形式向交易所提出复检申请。复检申请应当说明仓库名称和需要复检的商品数量、质量指标、生产厂家及牌号和货物所在垛位号（如有）等，留存联系方式，并加盖提出争议者公章。未在规定时间内以规定方式提出复检申请的，视为同意商品检验报告的检验结论。交易所委托指定质量检验机构进行复检，复检结果为解决争议的依据。复检费用由提出争议者负担。</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第二十八条 指定交割仓库应当按照交易所有关规定对入库聚氯乙烯的厂家、牌号、质量、包装及相关材料和凭证进行验收。</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注册聚氯乙烯期货标准仓单时，货主应提供对应的增值税专用发票复印件，指定交割仓库应当核实货物来源。</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第二十九条 聚氯乙烯收发数量以指定交割仓库核对为准。</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第三十条 境内生产的聚氯乙烯申请注册仓库标准仓单的，申请注册日期距商品生产日期不得超过120（含120）个自然日。</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lastRenderedPageBreak/>
        <w:t xml:space="preserve">　　境外生产的聚氯乙烯申请注册仓库标准仓单的，申请注册日期距商品《进口货物报关单》进口日期（或者《进境货物备案清单》进境日期）不得超过120（含120）个自然日。</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第三十一条 聚氯乙烯标准仓单在每年的3月份最后1个交易日之前应当进行标准仓单注销。</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第三十二条 聚氯乙烯从仓库出库时，持有《提货通知单》或者提货密码的货主应当在实际提货日3个自然日前与指定交割仓库联系有关出库事宜，并在标准仓单注销日后10个工作日内（含当日）到指定交割仓库提货。</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第三十三条 货主对仓库出库商品质量有异议的，首先与仓库协商解决。协商不成的，货主应当在标准仓单注销之日起10个工作日内且货物已交付但未出库的情况下，以书面形式向交易所提出复检申请。复检申请应当说明仓库名称和需要复检的商品数量、质量指标、生产厂家及牌号和货物所在垛位号等，留存联系方式，并加盖货主公章。未在规定时间内以规定方式提出申请的，视为货主对出库商品质量无异议。交易所委托指定质量检验机构进行复检，复检结果为解决争议的依据。复检费用由货主先行垫付。</w:t>
      </w:r>
      <w:r>
        <w:rPr>
          <w:rFonts w:ascii="仿宋_GB2312" w:eastAsia="仿宋_GB2312" w:hAnsi="仿宋_GB2312" w:cs="仿宋_GB2312" w:hint="eastAsia"/>
          <w:color w:val="333333"/>
          <w:sz w:val="32"/>
          <w:szCs w:val="32"/>
          <w:shd w:val="clear" w:color="auto" w:fill="FFFFFF"/>
        </w:rPr>
        <w:br/>
        <w:t>       对于非免检入库的商品，复检结果与交割质量标准相符的，由此产生的相关费用（检验费、差旅费和仓储费等）由货主负担；不相符的，由此产生的相关费用（检验费、差旅费和仓储费等）和损失由仓库负担；复检结果与交割质量标准虽相符，但非标准仓单注册申请人承诺交割注册品牌的，仓库应当在200元/吨范围内向货主先行承担赔偿责任，并有</w:t>
      </w:r>
      <w:r>
        <w:rPr>
          <w:rFonts w:ascii="仿宋_GB2312" w:eastAsia="仿宋_GB2312" w:hAnsi="仿宋_GB2312" w:cs="仿宋_GB2312" w:hint="eastAsia"/>
          <w:color w:val="333333"/>
          <w:sz w:val="32"/>
          <w:szCs w:val="32"/>
          <w:shd w:val="clear" w:color="auto" w:fill="FFFFFF"/>
        </w:rPr>
        <w:lastRenderedPageBreak/>
        <w:t>权向标准仓单注册申请人或其他责任人追偿，生产厂家应当予以配合。</w:t>
      </w:r>
      <w:r>
        <w:rPr>
          <w:rFonts w:ascii="仿宋_GB2312" w:eastAsia="仿宋_GB2312" w:hAnsi="仿宋_GB2312" w:cs="仿宋_GB2312" w:hint="eastAsia"/>
          <w:color w:val="333333"/>
          <w:sz w:val="32"/>
          <w:szCs w:val="32"/>
          <w:shd w:val="clear" w:color="auto" w:fill="FFFFFF"/>
        </w:rPr>
        <w:br/>
        <w:t>       对于免检入库的商品，复检结果与交割质量标准相符的，由此产生的相关费用由货主负担；不相符的，该费用由生产厂家负担。复检结果与交割质量标准不相符，或虽相符但非标准仓单注册申请人承诺免检注册品牌的，除货主和生产厂家另有约定的以外，生产厂家应当在收到或应当收到复检结果之日起15个自然日内在原交割地点为货主换货，逾期未完成换货的，按照每日2元/吨的标准向货主支付赔偿金，生产厂家在收到或应当收到复检结果之日起60个自然日内未完成换货的，应当向货主赔偿所有损失。生产厂家向货主先行承担上述责任后，有权向标准仓单注册申请人或其他责任人追偿。 </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第三十四条 聚氯乙烯从厂库出库时，货主应当在标准仓单注销日后（不含注销日）的4个自然日内（含当日）到厂库提货。厂库应当在标准仓单注销日后（不含注销日）的4个自然日内（含当日）开始发货。</w:t>
      </w:r>
    </w:p>
    <w:p w:rsidR="00701D53" w:rsidRDefault="00701D53" w:rsidP="00701D53">
      <w:pPr>
        <w:pStyle w:val="a7"/>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聚氯乙烯出库时，厂库应当在货主的监督下进行抽样，经双方确认后将样品封存，并将样品保留至发货日后的30个自然日。</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货主对厂库出库商品质量有异议的，首先与厂库协商解决。协商不成的，货主应当在按照规定封存样品（不含当日）后的10个工作日内以书面形式向交易所提出复检申请。复检申请应当说明厂库名称和需要复检的商品数量、质量指标、</w:t>
      </w:r>
      <w:r>
        <w:rPr>
          <w:rFonts w:ascii="仿宋_GB2312" w:eastAsia="仿宋_GB2312" w:hAnsi="仿宋_GB2312" w:cs="仿宋_GB2312" w:hint="eastAsia"/>
          <w:color w:val="333333"/>
          <w:sz w:val="32"/>
          <w:szCs w:val="32"/>
          <w:shd w:val="clear" w:color="auto" w:fill="FFFFFF"/>
        </w:rPr>
        <w:lastRenderedPageBreak/>
        <w:t>生产厂家及牌号和货物所在垛位号（如有）等，留存联系方式，并加盖货主公章。未在规定时间内以规定方式提出申请的，视为货主对出库商品质量无异议。交易所委托指定质量检验机构对封存的样品进行复检，并以该样品检验结果作为解决争议的依据。复检费用由货主先行垫付。复检结果与交割质量标准相符的，由此产生的相关费用（检验费、差旅费和仓储费等）和损失由货主负担；不相符的，由此产生的相关费用（检验费、差旅费和仓储费等）和损失由厂库负担。</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第三十五条 厂库以不高于日发货速度向货主发货时，货主因运输能力等原因无法按时提货，货主应当向厂库支付滞纳金。滞纳金按照如下方法确定：</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（一）从开始提货之日（含当日）起，每日按照截至当日应提而未提的商品数量乘以相应的滞纳金标准计算出当日滞纳金金额；</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（二）直至完成提货之日（不含当日），在加总每日滞纳金金额的基础上，计算出货主应当向厂库支付的滞纳金总额。</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滞纳金标准为2元/吨•天。</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第三十六条 在提货期限届满之日后（不含当日）且在标准仓单注销日后（不含注销日）的19个自然日内（含当日）到厂库提货，货主应当向厂库支付滞纳金，厂库仍应按照期货标准承担有关的商品质量、发货时间和发货速度的责任，直至发完全部期货商品。</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滞纳金按照如下方法确定：</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lastRenderedPageBreak/>
        <w:t xml:space="preserve">　　（一）从提货期限届满之日（含当日）起，每日按照截至当日应提而未提的商品数量乘以相应的滞纳金标准计算出当日滞纳金金额；</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（二）直至完成提货之日（不含当日），在加总每日滞纳金金额的基础上，计算出货主应当向厂库支付的滞纳金总额。</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滞纳金标准为2元/吨•天。</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第三十七条 在标准仓单注销日后（不含注销日）的19个自然日后（不含当日）到厂库提货，货主应当以下述公式的计算方法向厂库支付滞纳金，同时厂库将不再按照期货标准承担有关的商品质量、发货时间和发货速度的责任。</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滞纳金金额=2元/吨•天×全部的商品数量×19天</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第三十八条 厂库未按规定的日发货速度发货，但按时完成了所有商品的发货，厂库应当向货主支付赔偿金。</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赔偿金金额=该商品最近已交割月份交割结算价×按日出库速度应发而未发的商品数量×5%</w:t>
      </w:r>
    </w:p>
    <w:p w:rsidR="00701D53" w:rsidRDefault="00701D53" w:rsidP="00701D53">
      <w:pPr>
        <w:pStyle w:val="a7"/>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第三十九条 厂库未按时完成所有商品的发货，在按本细则第三十八条规定进行赔偿的基础上，同时还应当向货主支付赔偿金，赔偿金金额=该商品最近已交割月份交割结算价×按商品总量应发而未发的商品数量×5%；并按照以下程序进行处理：</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（一）交易所向货主提供其它厂库或其它地点的相同质量和数量的现货商品，并承担调整交货地点和延期发货产生的全部费用。</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lastRenderedPageBreak/>
        <w:t xml:space="preserve">　　（二）交易所无法提供上述商品时，向货主返还货款并支付赔偿金。</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返还货款和赔偿金的金额=该商品最近已交割月份交割结算价×按商品总量应发而未发的商品数量×120%</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第四十条 当厂库发生本细则第三十八条、第三十九条中的违约行为时，首先由厂库向货主支付赔偿金。厂库未支付的或者支付数额不足的，交易所按照《大连商品交易所标准仓单管理办法》相关规定处理。</w:t>
      </w:r>
    </w:p>
    <w:p w:rsidR="00701D53" w:rsidRDefault="00701D53" w:rsidP="00701D53">
      <w:pPr>
        <w:pStyle w:val="a7"/>
        <w:widowControl/>
        <w:adjustRightInd w:val="0"/>
        <w:snapToGrid w:val="0"/>
        <w:spacing w:beforeAutospacing="0" w:afterAutospacing="0" w:line="580" w:lineRule="exact"/>
        <w:jc w:val="center"/>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第四章 附则</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第四十一条 违反本细则规定的，交易所按照《大连商品交易所违规处理办法》和其他业务规则的有关规定处理。</w:t>
      </w: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第四十二条 本细则解释权属于大连商品交易所。</w:t>
      </w:r>
    </w:p>
    <w:p w:rsidR="00701D53" w:rsidRDefault="00701D53" w:rsidP="00701D53">
      <w:pPr>
        <w:pStyle w:val="a7"/>
        <w:widowControl/>
        <w:adjustRightInd w:val="0"/>
        <w:snapToGrid w:val="0"/>
        <w:spacing w:beforeAutospacing="0" w:afterAutospacing="0" w:line="580" w:lineRule="exact"/>
        <w:ind w:firstLine="640"/>
        <w:jc w:val="both"/>
        <w:rPr>
          <w:rFonts w:ascii="仿宋_GB2312" w:eastAsia="仿宋_GB2312" w:hAnsi="仿宋_GB2312" w:cs="仿宋_GB2312"/>
          <w:color w:val="333333"/>
          <w:sz w:val="32"/>
          <w:szCs w:val="32"/>
          <w:shd w:val="clear" w:color="auto" w:fill="FFFFFF"/>
        </w:rPr>
      </w:pPr>
      <w:r>
        <w:rPr>
          <w:rFonts w:ascii="仿宋_GB2312" w:eastAsia="仿宋_GB2312" w:hAnsi="仿宋_GB2312" w:cs="仿宋_GB2312" w:hint="eastAsia"/>
          <w:color w:val="333333"/>
          <w:sz w:val="32"/>
          <w:szCs w:val="32"/>
          <w:shd w:val="clear" w:color="auto" w:fill="FFFFFF"/>
        </w:rPr>
        <w:t>第四十三条 本细则自2019年7月1日起实施。</w:t>
      </w:r>
    </w:p>
    <w:p w:rsidR="00701D53" w:rsidRDefault="00701D53" w:rsidP="00701D53">
      <w:pPr>
        <w:pStyle w:val="a7"/>
        <w:widowControl/>
        <w:adjustRightInd w:val="0"/>
        <w:snapToGrid w:val="0"/>
        <w:spacing w:beforeAutospacing="0" w:afterAutospacing="0" w:line="580" w:lineRule="exact"/>
        <w:ind w:firstLine="640"/>
        <w:jc w:val="both"/>
        <w:rPr>
          <w:rFonts w:ascii="仿宋_GB2312" w:eastAsia="仿宋_GB2312" w:hAnsi="仿宋_GB2312" w:cs="仿宋_GB2312"/>
          <w:color w:val="333333"/>
          <w:sz w:val="32"/>
          <w:szCs w:val="32"/>
          <w:shd w:val="clear" w:color="auto" w:fill="FFFFFF"/>
        </w:rPr>
      </w:pPr>
    </w:p>
    <w:p w:rsidR="00701D53" w:rsidRDefault="00701D53" w:rsidP="00701D53">
      <w:pPr>
        <w:pStyle w:val="a7"/>
        <w:widowControl/>
        <w:adjustRightInd w:val="0"/>
        <w:snapToGrid w:val="0"/>
        <w:spacing w:beforeAutospacing="0" w:afterAutospacing="0" w:line="580" w:lineRule="exact"/>
        <w:jc w:val="both"/>
        <w:rPr>
          <w:rFonts w:ascii="仿宋_GB2312" w:eastAsia="仿宋_GB2312" w:hAnsi="仿宋_GB2312" w:cs="仿宋_GB2312"/>
          <w:color w:val="333333"/>
          <w:sz w:val="32"/>
          <w:szCs w:val="32"/>
        </w:rPr>
      </w:pPr>
      <w:r>
        <w:rPr>
          <w:rFonts w:ascii="仿宋_GB2312" w:eastAsia="仿宋_GB2312" w:hAnsi="仿宋_GB2312" w:cs="仿宋_GB2312" w:hint="eastAsia"/>
          <w:color w:val="333333"/>
          <w:sz w:val="32"/>
          <w:szCs w:val="32"/>
          <w:shd w:val="clear" w:color="auto" w:fill="FFFFFF"/>
        </w:rPr>
        <w:t xml:space="preserve">　　附件：大连商品交易所聚氯乙烯指定交割仓库名录（略）</w:t>
      </w:r>
    </w:p>
    <w:p w:rsidR="002E1788" w:rsidRDefault="002E1788" w:rsidP="00701D53">
      <w:bookmarkStart w:id="0" w:name="_GoBack"/>
      <w:bookmarkEnd w:id="0"/>
    </w:p>
    <w:sectPr w:rsidR="002E178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D53" w:rsidRDefault="00701D53" w:rsidP="00701D53">
      <w:r>
        <w:separator/>
      </w:r>
    </w:p>
  </w:endnote>
  <w:endnote w:type="continuationSeparator" w:id="0">
    <w:p w:rsidR="00701D53" w:rsidRDefault="00701D53" w:rsidP="00701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D53" w:rsidRDefault="00701D53" w:rsidP="00701D53">
      <w:r>
        <w:separator/>
      </w:r>
    </w:p>
  </w:footnote>
  <w:footnote w:type="continuationSeparator" w:id="0">
    <w:p w:rsidR="00701D53" w:rsidRDefault="00701D53" w:rsidP="00701D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FFC"/>
    <w:rsid w:val="002E1788"/>
    <w:rsid w:val="00701D53"/>
    <w:rsid w:val="00B22FFC"/>
    <w:rsid w:val="00BE0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8B9B7"/>
  <w15:chartTrackingRefBased/>
  <w15:docId w15:val="{A00368BA-6A59-4A97-BE7E-3A8FF618D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1D53"/>
    <w:pPr>
      <w:widowControl w:val="0"/>
      <w:jc w:val="both"/>
    </w:pPr>
    <w:rPr>
      <w:rFonts w:ascii="等线" w:eastAsia="等线" w:hAnsi="等线" w:cs="Times New Roman"/>
      <w:szCs w:val="24"/>
    </w:rPr>
  </w:style>
  <w:style w:type="paragraph" w:styleId="2">
    <w:name w:val="heading 2"/>
    <w:basedOn w:val="a"/>
    <w:next w:val="a"/>
    <w:link w:val="20"/>
    <w:semiHidden/>
    <w:unhideWhenUsed/>
    <w:qFormat/>
    <w:rsid w:val="00701D53"/>
    <w:pPr>
      <w:spacing w:beforeAutospacing="1" w:afterAutospacing="1"/>
      <w:jc w:val="left"/>
      <w:outlineLvl w:val="1"/>
    </w:pPr>
    <w:rPr>
      <w:rFonts w:ascii="宋体" w:eastAsia="宋体" w:hAnsi="宋体"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01D5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701D53"/>
    <w:rPr>
      <w:sz w:val="18"/>
      <w:szCs w:val="18"/>
    </w:rPr>
  </w:style>
  <w:style w:type="paragraph" w:styleId="a5">
    <w:name w:val="footer"/>
    <w:basedOn w:val="a"/>
    <w:link w:val="a6"/>
    <w:uiPriority w:val="99"/>
    <w:unhideWhenUsed/>
    <w:rsid w:val="00701D5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701D53"/>
    <w:rPr>
      <w:sz w:val="18"/>
      <w:szCs w:val="18"/>
    </w:rPr>
  </w:style>
  <w:style w:type="character" w:customStyle="1" w:styleId="20">
    <w:name w:val="标题 2 字符"/>
    <w:basedOn w:val="a0"/>
    <w:link w:val="2"/>
    <w:semiHidden/>
    <w:rsid w:val="00701D53"/>
    <w:rPr>
      <w:rFonts w:ascii="宋体" w:eastAsia="宋体" w:hAnsi="宋体" w:cs="Times New Roman"/>
      <w:b/>
      <w:kern w:val="0"/>
      <w:sz w:val="36"/>
      <w:szCs w:val="36"/>
    </w:rPr>
  </w:style>
  <w:style w:type="paragraph" w:styleId="a7">
    <w:name w:val="Normal (Web)"/>
    <w:basedOn w:val="a"/>
    <w:qFormat/>
    <w:rsid w:val="00701D53"/>
    <w:pPr>
      <w:spacing w:beforeAutospacing="1" w:afterAutospacing="1"/>
      <w:jc w:val="left"/>
    </w:pPr>
    <w:rPr>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759</Words>
  <Characters>4328</Characters>
  <Application>Microsoft Office Word</Application>
  <DocSecurity>0</DocSecurity>
  <Lines>36</Lines>
  <Paragraphs>10</Paragraphs>
  <ScaleCrop>false</ScaleCrop>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刘澜</dc:creator>
  <cp:keywords/>
  <dc:description/>
  <cp:lastModifiedBy>刘澜</cp:lastModifiedBy>
  <cp:revision>2</cp:revision>
  <dcterms:created xsi:type="dcterms:W3CDTF">2022-06-10T08:23:00Z</dcterms:created>
  <dcterms:modified xsi:type="dcterms:W3CDTF">2022-06-10T08:23:00Z</dcterms:modified>
</cp:coreProperties>
</file>