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6D" w:rsidRPr="00067662" w:rsidRDefault="0004226D" w:rsidP="0004226D">
      <w:pPr>
        <w:widowControl/>
        <w:jc w:val="left"/>
        <w:rPr>
          <w:rFonts w:ascii="黑体" w:eastAsia="黑体" w:hAnsi="黑体"/>
        </w:rPr>
      </w:pPr>
      <w:r w:rsidRPr="00067662">
        <w:rPr>
          <w:rFonts w:ascii="黑体" w:eastAsia="黑体" w:hAnsi="黑体" w:hint="eastAsia"/>
          <w:sz w:val="32"/>
          <w:szCs w:val="32"/>
        </w:rPr>
        <w:t>附件5</w:t>
      </w:r>
    </w:p>
    <w:p w:rsidR="0004226D" w:rsidRDefault="0004226D" w:rsidP="0004226D">
      <w:pPr>
        <w:spacing w:line="580" w:lineRule="exact"/>
        <w:jc w:val="left"/>
        <w:rPr>
          <w:rFonts w:ascii="仿宋_GB2312" w:eastAsia="仿宋_GB2312" w:hAnsi="黑体" w:hint="eastAsia"/>
          <w:sz w:val="32"/>
          <w:szCs w:val="32"/>
        </w:rPr>
      </w:pPr>
    </w:p>
    <w:p w:rsidR="0004226D" w:rsidRPr="0020740A" w:rsidRDefault="0004226D" w:rsidP="0004226D">
      <w:pPr>
        <w:widowControl/>
        <w:shd w:val="clear" w:color="auto" w:fill="FFFFFF"/>
        <w:jc w:val="center"/>
        <w:outlineLvl w:val="1"/>
        <w:rPr>
          <w:rFonts w:ascii="宋体" w:hAnsi="宋体" w:cs="宋体" w:hint="eastAsia"/>
          <w:b/>
          <w:color w:val="000000"/>
          <w:kern w:val="0"/>
          <w:sz w:val="44"/>
          <w:szCs w:val="44"/>
        </w:rPr>
      </w:pPr>
      <w:r w:rsidRPr="0020740A">
        <w:rPr>
          <w:rFonts w:ascii="宋体" w:hAnsi="宋体" w:cs="宋体" w:hint="eastAsia"/>
          <w:b/>
          <w:color w:val="000000"/>
          <w:kern w:val="0"/>
          <w:sz w:val="44"/>
          <w:szCs w:val="44"/>
        </w:rPr>
        <w:t>大连商品交易所风险管理办法</w:t>
      </w:r>
    </w:p>
    <w:p w:rsidR="0004226D" w:rsidRDefault="0004226D" w:rsidP="0004226D">
      <w:pPr>
        <w:widowControl/>
        <w:shd w:val="clear" w:color="auto" w:fill="FFFFFF"/>
        <w:jc w:val="center"/>
        <w:outlineLvl w:val="1"/>
        <w:rPr>
          <w:rFonts w:ascii="仿宋_GB2312" w:eastAsia="仿宋_GB2312" w:hAnsi="宋体" w:cs="宋体" w:hint="eastAsia"/>
          <w:sz w:val="32"/>
          <w:szCs w:val="32"/>
        </w:rPr>
      </w:pPr>
      <w:r>
        <w:rPr>
          <w:rFonts w:ascii="仿宋_GB2312" w:eastAsia="仿宋_GB2312" w:hAnsi="黑体" w:hint="eastAsia"/>
          <w:sz w:val="32"/>
          <w:szCs w:val="32"/>
        </w:rPr>
        <w:t>（根据2018年3月27日大商所发</w:t>
      </w:r>
      <w:r>
        <w:rPr>
          <w:rFonts w:ascii="仿宋_GB2312" w:hAnsi="宋体" w:cs="宋体" w:hint="eastAsia"/>
          <w:sz w:val="32"/>
          <w:szCs w:val="32"/>
        </w:rPr>
        <w:t>﹝</w:t>
      </w:r>
      <w:r>
        <w:rPr>
          <w:rFonts w:ascii="仿宋_GB2312" w:eastAsia="仿宋_GB2312" w:hAnsi="宋体" w:cs="宋体" w:hint="eastAsia"/>
          <w:sz w:val="32"/>
          <w:szCs w:val="32"/>
        </w:rPr>
        <w:t>2018</w:t>
      </w:r>
      <w:r>
        <w:rPr>
          <w:rFonts w:ascii="仿宋_GB2312" w:hAnsi="宋体" w:cs="宋体" w:hint="eastAsia"/>
          <w:sz w:val="32"/>
          <w:szCs w:val="32"/>
        </w:rPr>
        <w:t>﹞</w:t>
      </w:r>
      <w:r>
        <w:rPr>
          <w:rFonts w:ascii="仿宋_GB2312" w:eastAsia="仿宋_GB2312" w:hAnsi="宋体" w:cs="宋体" w:hint="eastAsia"/>
          <w:sz w:val="32"/>
          <w:szCs w:val="32"/>
        </w:rPr>
        <w:t>111号文件修订）</w:t>
      </w:r>
    </w:p>
    <w:p w:rsidR="0004226D" w:rsidRDefault="0004226D" w:rsidP="0004226D">
      <w:pPr>
        <w:widowControl/>
        <w:shd w:val="clear" w:color="auto" w:fill="FFFFFF"/>
        <w:jc w:val="center"/>
        <w:outlineLvl w:val="1"/>
        <w:rPr>
          <w:rFonts w:ascii="黑体" w:eastAsia="黑体" w:hAnsi="黑体" w:cs="宋体" w:hint="eastAsia"/>
          <w:b/>
          <w:color w:val="000000"/>
          <w:kern w:val="0"/>
          <w:sz w:val="44"/>
          <w:szCs w:val="44"/>
        </w:rPr>
      </w:pPr>
    </w:p>
    <w:p w:rsidR="0004226D" w:rsidRPr="003854FD" w:rsidRDefault="0004226D" w:rsidP="0004226D">
      <w:pPr>
        <w:pStyle w:val="a3"/>
        <w:shd w:val="clear" w:color="auto" w:fill="FFFFFF"/>
        <w:spacing w:before="0" w:beforeAutospacing="0" w:after="0" w:afterAutospacing="0" w:line="580" w:lineRule="exact"/>
        <w:ind w:firstLineChars="200" w:firstLine="640"/>
        <w:jc w:val="both"/>
        <w:rPr>
          <w:rFonts w:ascii="仿宋_GB2312" w:eastAsia="仿宋_GB2312" w:hAnsi="黑体" w:cs="Calibri" w:hint="eastAsia"/>
          <w:kern w:val="2"/>
          <w:sz w:val="32"/>
          <w:szCs w:val="32"/>
          <w:lang w:val="en-US" w:eastAsia="zh-CN"/>
        </w:rPr>
      </w:pPr>
      <w:r w:rsidRPr="003854FD">
        <w:rPr>
          <w:rFonts w:ascii="仿宋_GB2312" w:eastAsia="仿宋_GB2312" w:hAnsi="黑体" w:cs="Calibri" w:hint="eastAsia"/>
          <w:kern w:val="2"/>
          <w:sz w:val="32"/>
          <w:szCs w:val="32"/>
          <w:lang w:val="en-US" w:eastAsia="zh-CN"/>
        </w:rPr>
        <w:t>第三十八条 强行平仓的执行原则：</w:t>
      </w:r>
    </w:p>
    <w:p w:rsidR="0004226D" w:rsidRPr="003854FD" w:rsidRDefault="0004226D" w:rsidP="0004226D">
      <w:pPr>
        <w:pStyle w:val="a3"/>
        <w:shd w:val="clear" w:color="auto" w:fill="FFFFFF"/>
        <w:spacing w:before="0" w:beforeAutospacing="0" w:after="0" w:afterAutospacing="0" w:line="580" w:lineRule="exact"/>
        <w:jc w:val="both"/>
        <w:rPr>
          <w:rFonts w:ascii="仿宋_GB2312" w:eastAsia="仿宋_GB2312" w:hAnsi="黑体" w:cs="Calibri" w:hint="eastAsia"/>
          <w:kern w:val="2"/>
          <w:sz w:val="32"/>
          <w:szCs w:val="32"/>
          <w:lang w:val="en-US" w:eastAsia="zh-CN"/>
        </w:rPr>
      </w:pPr>
      <w:r w:rsidRPr="003854FD">
        <w:rPr>
          <w:rFonts w:ascii="仿宋_GB2312" w:eastAsia="仿宋_GB2312" w:hAnsi="黑体" w:cs="Calibri" w:hint="eastAsia"/>
          <w:kern w:val="2"/>
          <w:sz w:val="32"/>
          <w:szCs w:val="32"/>
          <w:lang w:val="en-US" w:eastAsia="zh-CN"/>
        </w:rPr>
        <w:t xml:space="preserve">　　强行平仓先由会员自己执行，除交易所特别规定外，对开设夜盘交易的品种，其时限为夜盘交易小节、第一节和第二节交易时间内；对未开设夜盘交易的品种，其时限为第一节和第二节交易时间内。若时限内会员未执行完毕，则第三节起由交易所强制执行。因结算准备金小于零而被要求强行平仓的，在保证金补足至最低结算准备金余额前，禁止相关会员的开仓交易。</w:t>
      </w:r>
    </w:p>
    <w:p w:rsidR="0004226D" w:rsidRPr="003854FD" w:rsidRDefault="0004226D" w:rsidP="0004226D">
      <w:pPr>
        <w:pStyle w:val="a3"/>
        <w:shd w:val="clear" w:color="auto" w:fill="FFFFFF"/>
        <w:spacing w:before="0" w:beforeAutospacing="0" w:after="0" w:afterAutospacing="0" w:line="580" w:lineRule="exact"/>
        <w:jc w:val="both"/>
        <w:rPr>
          <w:rFonts w:ascii="仿宋_GB2312" w:eastAsia="仿宋_GB2312" w:hAnsi="黑体" w:cs="Calibri" w:hint="eastAsia"/>
          <w:kern w:val="2"/>
          <w:sz w:val="32"/>
          <w:szCs w:val="32"/>
          <w:lang w:val="en-US" w:eastAsia="zh-CN"/>
        </w:rPr>
      </w:pPr>
      <w:r w:rsidRPr="003854FD">
        <w:rPr>
          <w:rFonts w:ascii="仿宋_GB2312" w:eastAsia="仿宋_GB2312" w:hAnsi="黑体" w:cs="Calibri" w:hint="eastAsia"/>
          <w:kern w:val="2"/>
          <w:sz w:val="32"/>
          <w:szCs w:val="32"/>
          <w:lang w:val="en-US" w:eastAsia="zh-CN"/>
        </w:rPr>
        <w:t xml:space="preserve">　　属第三十七条第（三）、（四）、（五）项的强行平仓，其强行平仓时间由交易所另行通知。</w:t>
      </w:r>
    </w:p>
    <w:p w:rsidR="0004226D" w:rsidRPr="003854FD" w:rsidRDefault="0004226D" w:rsidP="0004226D">
      <w:pPr>
        <w:pStyle w:val="a3"/>
        <w:shd w:val="clear" w:color="auto" w:fill="FFFFFF"/>
        <w:spacing w:before="0" w:beforeAutospacing="0" w:after="0" w:afterAutospacing="0" w:line="580" w:lineRule="exact"/>
        <w:jc w:val="both"/>
        <w:rPr>
          <w:rFonts w:ascii="仿宋_GB2312" w:eastAsia="仿宋_GB2312" w:hAnsi="黑体" w:cs="Calibri" w:hint="eastAsia"/>
          <w:kern w:val="2"/>
          <w:sz w:val="32"/>
          <w:szCs w:val="32"/>
          <w:lang w:val="en-US" w:eastAsia="zh-CN"/>
        </w:rPr>
      </w:pPr>
      <w:r w:rsidRPr="003854FD">
        <w:rPr>
          <w:rFonts w:ascii="仿宋_GB2312" w:eastAsia="仿宋_GB2312" w:hAnsi="黑体" w:cs="Calibri" w:hint="eastAsia"/>
          <w:kern w:val="2"/>
          <w:sz w:val="32"/>
          <w:szCs w:val="32"/>
          <w:lang w:val="en-US" w:eastAsia="zh-CN"/>
        </w:rPr>
        <w:t xml:space="preserve">　　（一）由会员单位执行的强行平仓头寸的确定</w:t>
      </w:r>
    </w:p>
    <w:p w:rsidR="0004226D" w:rsidRPr="003854FD" w:rsidRDefault="0004226D" w:rsidP="0004226D">
      <w:pPr>
        <w:pStyle w:val="a3"/>
        <w:shd w:val="clear" w:color="auto" w:fill="FFFFFF"/>
        <w:spacing w:before="0" w:beforeAutospacing="0" w:after="0" w:afterAutospacing="0" w:line="580" w:lineRule="exact"/>
        <w:jc w:val="both"/>
        <w:rPr>
          <w:rFonts w:ascii="仿宋_GB2312" w:eastAsia="仿宋_GB2312" w:hAnsi="黑体" w:cs="Calibri" w:hint="eastAsia"/>
          <w:kern w:val="2"/>
          <w:sz w:val="32"/>
          <w:szCs w:val="32"/>
          <w:lang w:val="en-US" w:eastAsia="zh-CN"/>
        </w:rPr>
      </w:pPr>
      <w:r w:rsidRPr="003854FD">
        <w:rPr>
          <w:rFonts w:ascii="仿宋_GB2312" w:eastAsia="仿宋_GB2312" w:hAnsi="黑体" w:cs="Calibri" w:hint="eastAsia"/>
          <w:kern w:val="2"/>
          <w:sz w:val="32"/>
          <w:szCs w:val="32"/>
          <w:lang w:val="en-US" w:eastAsia="zh-CN"/>
        </w:rPr>
        <w:t xml:space="preserve">　　1. 属第三十七条第（一）、（二）项的强行平仓，其需强行平仓头寸由会员单位自行确定，只要强行平仓结果符合交易所规则即可。</w:t>
      </w:r>
    </w:p>
    <w:p w:rsidR="0004226D" w:rsidRPr="003854FD" w:rsidRDefault="0004226D" w:rsidP="0004226D">
      <w:pPr>
        <w:pStyle w:val="a3"/>
        <w:shd w:val="clear" w:color="auto" w:fill="FFFFFF"/>
        <w:spacing w:before="0" w:beforeAutospacing="0" w:after="0" w:afterAutospacing="0" w:line="580" w:lineRule="exact"/>
        <w:jc w:val="both"/>
        <w:rPr>
          <w:rFonts w:ascii="仿宋_GB2312" w:eastAsia="仿宋_GB2312" w:hAnsi="黑体" w:cs="Calibri" w:hint="eastAsia"/>
          <w:kern w:val="2"/>
          <w:sz w:val="32"/>
          <w:szCs w:val="32"/>
          <w:lang w:val="en-US" w:eastAsia="zh-CN"/>
        </w:rPr>
      </w:pPr>
      <w:r w:rsidRPr="003854FD">
        <w:rPr>
          <w:rFonts w:ascii="仿宋_GB2312" w:eastAsia="仿宋_GB2312" w:hAnsi="黑体" w:cs="Calibri" w:hint="eastAsia"/>
          <w:kern w:val="2"/>
          <w:sz w:val="32"/>
          <w:szCs w:val="32"/>
          <w:lang w:val="en-US" w:eastAsia="zh-CN"/>
        </w:rPr>
        <w:t xml:space="preserve">　　2. 属第三十七条第（三）、（四）、（五）项的强行平仓，其需强行平仓头寸由交易所确定。</w:t>
      </w:r>
    </w:p>
    <w:p w:rsidR="0004226D" w:rsidRPr="003854FD" w:rsidRDefault="0004226D" w:rsidP="0004226D">
      <w:pPr>
        <w:pStyle w:val="a3"/>
        <w:shd w:val="clear" w:color="auto" w:fill="FFFFFF"/>
        <w:spacing w:before="0" w:beforeAutospacing="0" w:after="0" w:afterAutospacing="0" w:line="580" w:lineRule="exact"/>
        <w:jc w:val="both"/>
        <w:rPr>
          <w:rFonts w:ascii="仿宋_GB2312" w:eastAsia="仿宋_GB2312" w:hAnsi="黑体" w:cs="Calibri" w:hint="eastAsia"/>
          <w:kern w:val="2"/>
          <w:sz w:val="32"/>
          <w:szCs w:val="32"/>
          <w:lang w:val="en-US" w:eastAsia="zh-CN"/>
        </w:rPr>
      </w:pPr>
      <w:r>
        <w:rPr>
          <w:rFonts w:ascii="仿宋_GB2312" w:eastAsia="仿宋_GB2312" w:hAnsi="微软雅黑" w:hint="eastAsia"/>
          <w:color w:val="333333"/>
          <w:sz w:val="32"/>
          <w:szCs w:val="32"/>
          <w:lang w:eastAsia="zh-CN"/>
        </w:rPr>
        <w:lastRenderedPageBreak/>
        <w:t xml:space="preserve">　　</w:t>
      </w:r>
      <w:r w:rsidRPr="003854FD">
        <w:rPr>
          <w:rFonts w:ascii="仿宋_GB2312" w:eastAsia="仿宋_GB2312" w:hAnsi="黑体" w:cs="Calibri" w:hint="eastAsia"/>
          <w:kern w:val="2"/>
          <w:sz w:val="32"/>
          <w:szCs w:val="32"/>
          <w:lang w:val="en-US" w:eastAsia="zh-CN"/>
        </w:rPr>
        <w:t>（二）由交易所执行的强行平仓头寸的确定</w:t>
      </w:r>
    </w:p>
    <w:p w:rsidR="0004226D" w:rsidRPr="003854FD" w:rsidRDefault="0004226D" w:rsidP="0004226D">
      <w:pPr>
        <w:pStyle w:val="a3"/>
        <w:shd w:val="clear" w:color="auto" w:fill="FFFFFF"/>
        <w:spacing w:before="0" w:beforeAutospacing="0" w:after="0" w:afterAutospacing="0" w:line="580" w:lineRule="exact"/>
        <w:jc w:val="both"/>
        <w:rPr>
          <w:rFonts w:ascii="仿宋_GB2312" w:eastAsia="仿宋_GB2312" w:hAnsi="黑体" w:cs="Calibri" w:hint="eastAsia"/>
          <w:kern w:val="2"/>
          <w:sz w:val="32"/>
          <w:szCs w:val="32"/>
          <w:lang w:val="en-US" w:eastAsia="zh-CN"/>
        </w:rPr>
      </w:pPr>
      <w:r w:rsidRPr="003854FD">
        <w:rPr>
          <w:rFonts w:ascii="仿宋_GB2312" w:eastAsia="仿宋_GB2312" w:hAnsi="黑体" w:cs="Calibri" w:hint="eastAsia"/>
          <w:kern w:val="2"/>
          <w:sz w:val="32"/>
          <w:szCs w:val="32"/>
          <w:lang w:val="en-US" w:eastAsia="zh-CN"/>
        </w:rPr>
        <w:t xml:space="preserve">　　1. 属第三十七条第（一）项的强行平仓，交易所以该会员在13：00的结算准备金余额为依据，计算会员应追加的交易保证金，该会员所有客户按交易保证金等比例平仓原则进行强行平仓：</w:t>
      </w:r>
    </w:p>
    <w:p w:rsidR="0004226D" w:rsidRPr="003854FD" w:rsidRDefault="0004226D" w:rsidP="0004226D">
      <w:pPr>
        <w:pStyle w:val="a3"/>
        <w:shd w:val="clear" w:color="auto" w:fill="FFFFFF"/>
        <w:spacing w:before="0" w:beforeAutospacing="0" w:after="0" w:afterAutospacing="0" w:line="580" w:lineRule="exact"/>
        <w:jc w:val="both"/>
        <w:rPr>
          <w:rFonts w:ascii="仿宋_GB2312" w:eastAsia="仿宋_GB2312" w:hAnsi="黑体" w:cs="Calibri" w:hint="eastAsia"/>
          <w:kern w:val="2"/>
          <w:sz w:val="32"/>
          <w:szCs w:val="32"/>
          <w:lang w:val="en-US" w:eastAsia="zh-CN"/>
        </w:rPr>
      </w:pPr>
      <w:r w:rsidRPr="003854FD">
        <w:rPr>
          <w:rFonts w:ascii="仿宋_GB2312" w:eastAsia="仿宋_GB2312" w:hAnsi="黑体" w:cs="Calibri" w:hint="eastAsia"/>
          <w:kern w:val="2"/>
          <w:sz w:val="32"/>
          <w:szCs w:val="32"/>
          <w:lang w:val="en-US" w:eastAsia="zh-CN"/>
        </w:rPr>
        <w:t xml:space="preserve">　　平仓比例 = 会员应追加交易保证金 /会员交易保证金总额×100%</w:t>
      </w:r>
    </w:p>
    <w:p w:rsidR="0004226D" w:rsidRPr="003854FD" w:rsidRDefault="0004226D" w:rsidP="0004226D">
      <w:pPr>
        <w:pStyle w:val="a3"/>
        <w:shd w:val="clear" w:color="auto" w:fill="FFFFFF"/>
        <w:spacing w:before="0" w:beforeAutospacing="0" w:after="0" w:afterAutospacing="0" w:line="580" w:lineRule="exact"/>
        <w:jc w:val="both"/>
        <w:rPr>
          <w:rFonts w:ascii="仿宋_GB2312" w:eastAsia="仿宋_GB2312" w:hAnsi="黑体" w:cs="Calibri" w:hint="eastAsia"/>
          <w:kern w:val="2"/>
          <w:sz w:val="32"/>
          <w:szCs w:val="32"/>
          <w:lang w:val="en-US" w:eastAsia="zh-CN"/>
        </w:rPr>
      </w:pPr>
      <w:r w:rsidRPr="003854FD">
        <w:rPr>
          <w:rFonts w:ascii="仿宋_GB2312" w:eastAsia="仿宋_GB2312" w:hAnsi="黑体" w:cs="Calibri" w:hint="eastAsia"/>
          <w:kern w:val="2"/>
          <w:sz w:val="32"/>
          <w:szCs w:val="32"/>
          <w:lang w:val="en-US" w:eastAsia="zh-CN"/>
        </w:rPr>
        <w:t xml:space="preserve">　　客户应平仓释放交易保证金 = 该客户交易保证金总额×平仓比例</w:t>
      </w:r>
    </w:p>
    <w:p w:rsidR="0004226D" w:rsidRPr="003854FD" w:rsidRDefault="0004226D" w:rsidP="0004226D">
      <w:pPr>
        <w:pStyle w:val="a3"/>
        <w:shd w:val="clear" w:color="auto" w:fill="FFFFFF"/>
        <w:spacing w:before="0" w:beforeAutospacing="0" w:after="0" w:afterAutospacing="0" w:line="580" w:lineRule="exact"/>
        <w:jc w:val="both"/>
        <w:rPr>
          <w:rFonts w:ascii="仿宋_GB2312" w:eastAsia="仿宋_GB2312" w:hAnsi="黑体" w:cs="Calibri" w:hint="eastAsia"/>
          <w:kern w:val="2"/>
          <w:sz w:val="32"/>
          <w:szCs w:val="32"/>
          <w:lang w:val="en-US" w:eastAsia="zh-CN"/>
        </w:rPr>
      </w:pPr>
      <w:r w:rsidRPr="003854FD">
        <w:rPr>
          <w:rFonts w:ascii="仿宋_GB2312" w:eastAsia="仿宋_GB2312" w:hAnsi="黑体" w:cs="Calibri" w:hint="eastAsia"/>
          <w:kern w:val="2"/>
          <w:sz w:val="32"/>
          <w:szCs w:val="32"/>
          <w:lang w:val="en-US" w:eastAsia="zh-CN"/>
        </w:rPr>
        <w:t xml:space="preserve">　　其客户需要强行平仓的头寸由交易所按先投机、后套期保值的原则；并按上一交易日闭市后合约总持仓量由大到小顺序，先选择持仓量大的合约作为强行平仓的合约。</w:t>
      </w:r>
    </w:p>
    <w:p w:rsidR="0004226D" w:rsidRPr="003854FD" w:rsidRDefault="0004226D" w:rsidP="0004226D">
      <w:pPr>
        <w:pStyle w:val="a3"/>
        <w:shd w:val="clear" w:color="auto" w:fill="FFFFFF"/>
        <w:spacing w:before="0" w:beforeAutospacing="0" w:after="0" w:afterAutospacing="0" w:line="580" w:lineRule="exact"/>
        <w:jc w:val="both"/>
        <w:rPr>
          <w:rFonts w:ascii="仿宋_GB2312" w:eastAsia="仿宋_GB2312" w:hAnsi="黑体" w:cs="Calibri" w:hint="eastAsia"/>
          <w:kern w:val="2"/>
          <w:sz w:val="32"/>
          <w:szCs w:val="32"/>
          <w:lang w:val="en-US" w:eastAsia="zh-CN"/>
        </w:rPr>
      </w:pPr>
      <w:r w:rsidRPr="003854FD">
        <w:rPr>
          <w:rFonts w:ascii="仿宋_GB2312" w:eastAsia="仿宋_GB2312" w:hAnsi="黑体" w:cs="Calibri" w:hint="eastAsia"/>
          <w:kern w:val="2"/>
          <w:sz w:val="32"/>
          <w:szCs w:val="32"/>
          <w:lang w:val="en-US" w:eastAsia="zh-CN"/>
        </w:rPr>
        <w:t xml:space="preserve">　　若多个会员需要强行平仓的，按追加保证金由大到小的顺序，先平需要追加保证金大的会员。</w:t>
      </w:r>
    </w:p>
    <w:p w:rsidR="0004226D" w:rsidRPr="003854FD" w:rsidRDefault="0004226D" w:rsidP="0004226D">
      <w:pPr>
        <w:pStyle w:val="a3"/>
        <w:shd w:val="clear" w:color="auto" w:fill="FFFFFF"/>
        <w:spacing w:before="0" w:beforeAutospacing="0" w:after="0" w:afterAutospacing="0" w:line="580" w:lineRule="exact"/>
        <w:jc w:val="both"/>
        <w:rPr>
          <w:rFonts w:ascii="仿宋_GB2312" w:eastAsia="仿宋_GB2312" w:hAnsi="黑体" w:cs="Calibri" w:hint="eastAsia"/>
          <w:kern w:val="2"/>
          <w:sz w:val="32"/>
          <w:szCs w:val="32"/>
          <w:lang w:val="en-US" w:eastAsia="zh-CN"/>
        </w:rPr>
      </w:pPr>
      <w:r w:rsidRPr="003854FD">
        <w:rPr>
          <w:rFonts w:ascii="仿宋_GB2312" w:eastAsia="仿宋_GB2312" w:hAnsi="黑体" w:cs="Calibri" w:hint="eastAsia"/>
          <w:kern w:val="2"/>
          <w:sz w:val="32"/>
          <w:szCs w:val="32"/>
          <w:lang w:val="en-US" w:eastAsia="zh-CN"/>
        </w:rPr>
        <w:t xml:space="preserve">　　2. 属第三十七条第（二）项的强行平仓：若既有投机持仓超仓也有保值持仓超仓，则按先投机持仓后保值持仓的顺序强行平仓。</w:t>
      </w:r>
    </w:p>
    <w:p w:rsidR="0004226D" w:rsidRPr="003854FD" w:rsidRDefault="0004226D" w:rsidP="0004226D">
      <w:pPr>
        <w:pStyle w:val="a3"/>
        <w:shd w:val="clear" w:color="auto" w:fill="FFFFFF"/>
        <w:spacing w:before="0" w:beforeAutospacing="0" w:after="0" w:afterAutospacing="0" w:line="580" w:lineRule="exact"/>
        <w:jc w:val="both"/>
        <w:rPr>
          <w:rFonts w:ascii="仿宋_GB2312" w:eastAsia="仿宋_GB2312" w:hAnsi="黑体" w:cs="Calibri" w:hint="eastAsia"/>
          <w:kern w:val="2"/>
          <w:sz w:val="32"/>
          <w:szCs w:val="32"/>
          <w:lang w:val="en-US" w:eastAsia="zh-CN"/>
        </w:rPr>
      </w:pPr>
      <w:r w:rsidRPr="003854FD">
        <w:rPr>
          <w:rFonts w:ascii="仿宋_GB2312" w:eastAsia="仿宋_GB2312" w:hAnsi="黑体" w:cs="Calibri" w:hint="eastAsia"/>
          <w:kern w:val="2"/>
          <w:sz w:val="32"/>
          <w:szCs w:val="32"/>
          <w:lang w:val="en-US" w:eastAsia="zh-CN"/>
        </w:rPr>
        <w:t xml:space="preserve">　　若客户在多个期货公司会员处持有投机持仓，则按该客户投机持仓数量由大到小的顺序选择期货公司会员强行平仓。若多个客户投机持仓超仓，则按客户投机超仓数量由大到小顺序强行平仓。</w:t>
      </w:r>
    </w:p>
    <w:p w:rsidR="0004226D" w:rsidRPr="003854FD" w:rsidRDefault="0004226D" w:rsidP="0004226D">
      <w:pPr>
        <w:pStyle w:val="a3"/>
        <w:shd w:val="clear" w:color="auto" w:fill="FFFFFF"/>
        <w:spacing w:before="0" w:beforeAutospacing="0" w:after="0" w:afterAutospacing="0" w:line="580" w:lineRule="exact"/>
        <w:jc w:val="both"/>
        <w:rPr>
          <w:rFonts w:ascii="仿宋_GB2312" w:eastAsia="仿宋_GB2312" w:hAnsi="黑体" w:cs="Calibri" w:hint="eastAsia"/>
          <w:kern w:val="2"/>
          <w:sz w:val="32"/>
          <w:szCs w:val="32"/>
          <w:lang w:val="en-US" w:eastAsia="zh-CN"/>
        </w:rPr>
      </w:pPr>
      <w:r w:rsidRPr="003854FD">
        <w:rPr>
          <w:rFonts w:ascii="仿宋_GB2312" w:eastAsia="仿宋_GB2312" w:hAnsi="黑体" w:cs="Calibri" w:hint="eastAsia"/>
          <w:kern w:val="2"/>
          <w:sz w:val="32"/>
          <w:szCs w:val="32"/>
          <w:lang w:val="en-US" w:eastAsia="zh-CN"/>
        </w:rPr>
        <w:lastRenderedPageBreak/>
        <w:t xml:space="preserve">　　3. 属第三十七条第（三）、（四）、（五）项的强行平仓，强行平仓头寸由交易所根据涉及的会员和客户具体情况确定。</w:t>
      </w:r>
    </w:p>
    <w:p w:rsidR="0004226D" w:rsidRPr="003854FD" w:rsidRDefault="0004226D" w:rsidP="0004226D">
      <w:pPr>
        <w:pStyle w:val="a3"/>
        <w:shd w:val="clear" w:color="auto" w:fill="FFFFFF"/>
        <w:spacing w:before="0" w:beforeAutospacing="0" w:after="0" w:afterAutospacing="0" w:line="580" w:lineRule="exact"/>
        <w:jc w:val="both"/>
        <w:rPr>
          <w:rFonts w:ascii="仿宋_GB2312" w:eastAsia="仿宋_GB2312" w:hAnsi="黑体" w:cs="Calibri" w:hint="eastAsia"/>
          <w:kern w:val="2"/>
          <w:sz w:val="32"/>
          <w:szCs w:val="32"/>
          <w:lang w:val="en-US" w:eastAsia="zh-CN"/>
        </w:rPr>
      </w:pPr>
      <w:r w:rsidRPr="003854FD">
        <w:rPr>
          <w:rFonts w:ascii="仿宋_GB2312" w:eastAsia="仿宋_GB2312" w:hAnsi="黑体" w:cs="Calibri" w:hint="eastAsia"/>
          <w:kern w:val="2"/>
          <w:sz w:val="32"/>
          <w:szCs w:val="32"/>
          <w:lang w:val="en-US" w:eastAsia="zh-CN"/>
        </w:rPr>
        <w:t xml:space="preserve">　　若会员同时满足第三十七条第（一）、（二）项情况，交易所先按第（二）项情况确定强行平仓头寸，再按第（一）项情况确定强行平仓头寸。</w:t>
      </w:r>
    </w:p>
    <w:p w:rsidR="0004226D" w:rsidRPr="003854FD" w:rsidRDefault="0004226D" w:rsidP="0004226D">
      <w:pPr>
        <w:pStyle w:val="a3"/>
        <w:shd w:val="clear" w:color="auto" w:fill="FFFFFF"/>
        <w:spacing w:before="0" w:beforeAutospacing="0" w:after="0" w:afterAutospacing="0" w:line="580" w:lineRule="exact"/>
        <w:ind w:firstLineChars="200" w:firstLine="640"/>
        <w:jc w:val="both"/>
        <w:rPr>
          <w:rFonts w:ascii="仿宋_GB2312" w:eastAsia="仿宋_GB2312" w:hAnsi="黑体" w:cs="Calibri" w:hint="eastAsia"/>
          <w:kern w:val="2"/>
          <w:sz w:val="32"/>
          <w:szCs w:val="32"/>
          <w:lang w:val="en-US" w:eastAsia="zh-CN"/>
        </w:rPr>
      </w:pPr>
    </w:p>
    <w:p w:rsidR="00576E33" w:rsidRPr="0004226D" w:rsidRDefault="00576E33">
      <w:bookmarkStart w:id="0" w:name="_GoBack"/>
      <w:bookmarkEnd w:id="0"/>
    </w:p>
    <w:sectPr w:rsidR="00576E33" w:rsidRPr="0004226D" w:rsidSect="004955D2">
      <w:footerReference w:type="default" r:id="rId6"/>
      <w:pgSz w:w="11906" w:h="16838"/>
      <w:pgMar w:top="2098" w:right="1588" w:bottom="1718" w:left="1588" w:header="851" w:footer="1389"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26D" w:rsidRDefault="0004226D" w:rsidP="0004226D">
      <w:r>
        <w:separator/>
      </w:r>
    </w:p>
  </w:endnote>
  <w:endnote w:type="continuationSeparator" w:id="0">
    <w:p w:rsidR="0004226D" w:rsidRDefault="0004226D" w:rsidP="0004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1961"/>
      <w:docPartObj>
        <w:docPartGallery w:val="Page Numbers (Bottom of Page)"/>
        <w:docPartUnique/>
      </w:docPartObj>
    </w:sdtPr>
    <w:sdtContent>
      <w:p w:rsidR="0004226D" w:rsidRDefault="0004226D">
        <w:pPr>
          <w:pStyle w:val="a6"/>
          <w:jc w:val="center"/>
        </w:pPr>
        <w:r>
          <w:fldChar w:fldCharType="begin"/>
        </w:r>
        <w:r>
          <w:instrText>PAGE   \* MERGEFORMAT</w:instrText>
        </w:r>
        <w:r>
          <w:fldChar w:fldCharType="separate"/>
        </w:r>
        <w:r w:rsidRPr="0004226D">
          <w:rPr>
            <w:noProof/>
            <w:lang w:val="zh-CN"/>
          </w:rPr>
          <w:t>1</w:t>
        </w:r>
        <w:r>
          <w:fldChar w:fldCharType="end"/>
        </w:r>
      </w:p>
    </w:sdtContent>
  </w:sdt>
  <w:p w:rsidR="0004226D" w:rsidRDefault="000422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26D" w:rsidRDefault="0004226D" w:rsidP="0004226D">
      <w:r>
        <w:separator/>
      </w:r>
    </w:p>
  </w:footnote>
  <w:footnote w:type="continuationSeparator" w:id="0">
    <w:p w:rsidR="0004226D" w:rsidRDefault="0004226D" w:rsidP="00042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6D"/>
    <w:rsid w:val="0004226D"/>
    <w:rsid w:val="00442C5C"/>
    <w:rsid w:val="00576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2860B-BB61-4023-9534-A9DBF0C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26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04226D"/>
    <w:pPr>
      <w:widowControl/>
      <w:spacing w:before="100" w:beforeAutospacing="1" w:after="100" w:afterAutospacing="1"/>
      <w:jc w:val="left"/>
    </w:pPr>
    <w:rPr>
      <w:rFonts w:ascii="Times New Roman" w:eastAsia="Batang" w:hAnsi="Times New Roman" w:cs="Times New Roman"/>
      <w:kern w:val="0"/>
      <w:sz w:val="24"/>
      <w:szCs w:val="24"/>
      <w:lang w:val="en-GB" w:eastAsia="en-GB"/>
    </w:rPr>
  </w:style>
  <w:style w:type="paragraph" w:styleId="a4">
    <w:name w:val="header"/>
    <w:basedOn w:val="a"/>
    <w:link w:val="a5"/>
    <w:uiPriority w:val="99"/>
    <w:unhideWhenUsed/>
    <w:rsid w:val="0004226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4226D"/>
    <w:rPr>
      <w:rFonts w:ascii="Calibri" w:eastAsia="宋体" w:hAnsi="Calibri" w:cs="Calibri"/>
      <w:sz w:val="18"/>
      <w:szCs w:val="18"/>
    </w:rPr>
  </w:style>
  <w:style w:type="paragraph" w:styleId="a6">
    <w:name w:val="footer"/>
    <w:basedOn w:val="a"/>
    <w:link w:val="a7"/>
    <w:uiPriority w:val="99"/>
    <w:unhideWhenUsed/>
    <w:rsid w:val="0004226D"/>
    <w:pPr>
      <w:tabs>
        <w:tab w:val="center" w:pos="4153"/>
        <w:tab w:val="right" w:pos="8306"/>
      </w:tabs>
      <w:snapToGrid w:val="0"/>
      <w:jc w:val="left"/>
    </w:pPr>
    <w:rPr>
      <w:sz w:val="18"/>
      <w:szCs w:val="18"/>
    </w:rPr>
  </w:style>
  <w:style w:type="character" w:customStyle="1" w:styleId="a7">
    <w:name w:val="页脚 字符"/>
    <w:basedOn w:val="a0"/>
    <w:link w:val="a6"/>
    <w:uiPriority w:val="99"/>
    <w:rsid w:val="0004226D"/>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曹丹</dc:creator>
  <cp:keywords/>
  <dc:description/>
  <cp:lastModifiedBy>曹丹</cp:lastModifiedBy>
  <cp:revision>1</cp:revision>
  <dcterms:created xsi:type="dcterms:W3CDTF">2018-04-17T06:08:00Z</dcterms:created>
  <dcterms:modified xsi:type="dcterms:W3CDTF">2018-04-17T06:09:00Z</dcterms:modified>
</cp:coreProperties>
</file>