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textAlignment w:val="auto"/>
        <w:rPr>
          <w:rFonts w:hint="eastAsia" w:ascii="Times New Roman" w:hAnsi="Times New Roman" w:eastAsia="黑体"/>
          <w:sz w:val="32"/>
          <w:lang w:val="en-US" w:eastAsia="zh-CN"/>
        </w:rPr>
      </w:pPr>
      <w:r>
        <w:rPr>
          <w:rFonts w:hint="eastAsia" w:ascii="Times New Roman" w:hAnsi="黑体" w:eastAsia="黑体"/>
          <w:sz w:val="32"/>
        </w:rPr>
        <w:t>附件</w:t>
      </w:r>
      <w:r>
        <w:rPr>
          <w:rFonts w:hint="eastAsia" w:ascii="Times New Roman" w:hAnsi="Times New Roman" w:eastAsia="黑体"/>
          <w:sz w:val="32"/>
          <w:lang w:val="en-US" w:eastAsia="zh-CN"/>
        </w:rPr>
        <w:t>6</w:t>
      </w:r>
    </w:p>
    <w:p>
      <w:pPr>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《郑州商品交易所</w:t>
      </w:r>
      <w:r>
        <w:rPr>
          <w:rFonts w:hint="eastAsia" w:ascii="方正小标宋简体" w:hAnsi="宋体" w:eastAsia="方正小标宋简体"/>
          <w:sz w:val="44"/>
          <w:szCs w:val="44"/>
          <w:lang w:eastAsia="zh-CN"/>
        </w:rPr>
        <w:t>鲜苹果</w:t>
      </w:r>
      <w:r>
        <w:rPr>
          <w:rFonts w:hint="eastAsia" w:ascii="方正小标宋简体" w:hAnsi="宋体" w:eastAsia="方正小标宋简体"/>
          <w:sz w:val="44"/>
          <w:szCs w:val="44"/>
        </w:rPr>
        <w:t>期权合约（征求意见稿）》及起草说明</w:t>
      </w:r>
      <w:bookmarkEnd w:id="0"/>
    </w:p>
    <w:p>
      <w:pPr>
        <w:suppressAutoHyphens/>
        <w:bidi w:val="0"/>
        <w:ind w:firstLine="640" w:firstLineChars="200"/>
        <w:outlineLvl w:val="1"/>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w:t>
      </w:r>
      <w:r>
        <w:rPr>
          <w:rFonts w:hint="eastAsia" w:eastAsia="黑体" w:cs="Times New Roman"/>
          <w:sz w:val="32"/>
          <w:szCs w:val="32"/>
          <w:lang w:eastAsia="zh-CN"/>
        </w:rPr>
        <w:t>鲜</w:t>
      </w:r>
      <w:r>
        <w:rPr>
          <w:rFonts w:hint="default" w:ascii="Times New Roman" w:hAnsi="Times New Roman" w:eastAsia="黑体" w:cs="Times New Roman"/>
          <w:sz w:val="32"/>
          <w:szCs w:val="32"/>
          <w:lang w:eastAsia="zh-CN"/>
        </w:rPr>
        <w:t>苹果</w:t>
      </w:r>
      <w:r>
        <w:rPr>
          <w:rStyle w:val="6"/>
          <w:rFonts w:hint="default" w:ascii="Times New Roman" w:hAnsi="Times New Roman" w:eastAsia="黑体" w:cs="Times New Roman"/>
          <w:sz w:val="32"/>
          <w:szCs w:val="32"/>
          <w:lang w:eastAsia="zh-CN"/>
        </w:rPr>
        <w:footnoteReference w:id="0"/>
      </w:r>
      <w:r>
        <w:rPr>
          <w:rFonts w:hint="default" w:ascii="Times New Roman" w:hAnsi="Times New Roman" w:eastAsia="黑体" w:cs="Times New Roman"/>
          <w:sz w:val="32"/>
          <w:szCs w:val="32"/>
        </w:rPr>
        <w:t>期权合约（征求意见稿）</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4"/>
        <w:gridCol w:w="6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合约标的物</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lang w:eastAsia="zh-CN"/>
              </w:rPr>
              <w:t>鲜</w:t>
            </w:r>
            <w:r>
              <w:rPr>
                <w:rFonts w:hint="default" w:ascii="Times New Roman" w:hAnsi="Times New Roman" w:eastAsia="仿宋" w:cs="Times New Roman"/>
                <w:sz w:val="24"/>
              </w:rPr>
              <w:t>苹果期货合约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合约类型</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看涨期权、看跌期权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交易单位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1手</w:t>
            </w:r>
            <w:r>
              <w:rPr>
                <w:rFonts w:hint="default" w:ascii="Times New Roman" w:hAnsi="Times New Roman" w:eastAsia="仿宋" w:cs="Times New Roman"/>
                <w:sz w:val="24"/>
                <w:lang w:eastAsia="zh-CN"/>
              </w:rPr>
              <w:t>鲜</w:t>
            </w:r>
            <w:r>
              <w:rPr>
                <w:rFonts w:hint="default" w:ascii="Times New Roman" w:hAnsi="Times New Roman" w:eastAsia="仿宋" w:cs="Times New Roman"/>
                <w:sz w:val="24"/>
              </w:rPr>
              <w:t>苹果期货合约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报价单位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元（人民币）/吨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最小变动价位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0.5元/吨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涨跌停板幅度</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与</w:t>
            </w:r>
            <w:r>
              <w:rPr>
                <w:rFonts w:hint="default" w:ascii="Times New Roman" w:hAnsi="Times New Roman" w:eastAsia="仿宋" w:cs="Times New Roman"/>
                <w:sz w:val="24"/>
                <w:lang w:eastAsia="zh-CN"/>
              </w:rPr>
              <w:t>鲜</w:t>
            </w:r>
            <w:r>
              <w:rPr>
                <w:rFonts w:hint="default" w:ascii="Times New Roman" w:hAnsi="Times New Roman" w:eastAsia="仿宋" w:cs="Times New Roman"/>
                <w:sz w:val="24"/>
              </w:rPr>
              <w:t>苹果期货合约涨跌停板幅度相同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合约月份</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标的期货合约中的连续两个近月，其后月份在标的期货合约结算后持仓量达到5000手（单边）之后的第二个交易日挂牌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交易时间</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每周一至周五上午9:00</w:t>
            </w:r>
            <w:r>
              <w:rPr>
                <w:rFonts w:hint="eastAsia" w:ascii="仿宋" w:hAnsi="仿宋" w:eastAsia="仿宋" w:cs="仿宋"/>
                <w:sz w:val="24"/>
              </w:rPr>
              <w:t>-</w:t>
            </w:r>
            <w:r>
              <w:rPr>
                <w:rFonts w:hint="default" w:ascii="Times New Roman" w:hAnsi="Times New Roman" w:eastAsia="仿宋" w:cs="Times New Roman"/>
                <w:sz w:val="24"/>
              </w:rPr>
              <w:t>11:30，下午13:30</w:t>
            </w:r>
            <w:r>
              <w:rPr>
                <w:rFonts w:hint="eastAsia" w:ascii="仿宋" w:hAnsi="仿宋" w:eastAsia="仿宋" w:cs="仿宋"/>
                <w:sz w:val="24"/>
              </w:rPr>
              <w:t>-</w:t>
            </w:r>
            <w:r>
              <w:rPr>
                <w:rFonts w:hint="default" w:ascii="Times New Roman" w:hAnsi="Times New Roman" w:eastAsia="仿宋" w:cs="Times New Roman"/>
                <w:sz w:val="24"/>
              </w:rPr>
              <w:t>15:00，以及交易所规定的其他交易时间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最后交易日</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标的期货合约交割月份前两个月最后一个日历日之前（含该日）的倒数第3个交易日，以及交易所规定的其他日期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到期日</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同最后交易日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行权价格</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bCs/>
                <w:sz w:val="24"/>
              </w:rPr>
            </w:pPr>
            <w:r>
              <w:rPr>
                <w:rFonts w:hint="default" w:ascii="Times New Roman" w:hAnsi="Times New Roman" w:eastAsia="仿宋" w:cs="Times New Roman"/>
                <w:bCs/>
                <w:color w:val="000000"/>
                <w:sz w:val="24"/>
              </w:rPr>
              <w:t>行权价格</w:t>
            </w:r>
            <w:r>
              <w:rPr>
                <w:rFonts w:hint="default" w:ascii="Times New Roman" w:hAnsi="Times New Roman" w:eastAsia="仿宋" w:cs="Times New Roman"/>
                <w:sz w:val="24"/>
              </w:rPr>
              <w:t>覆盖标的期货合约上一交易日结算价上下浮动1.5倍当日涨跌停板幅度对应的价格范围。行权价格</w:t>
            </w:r>
            <w:r>
              <w:rPr>
                <w:rFonts w:hint="eastAsia" w:ascii="仿宋" w:hAnsi="仿宋" w:eastAsia="仿宋" w:cs="仿宋"/>
                <w:sz w:val="24"/>
              </w:rPr>
              <w:t>≤</w:t>
            </w:r>
            <w:r>
              <w:rPr>
                <w:rFonts w:hint="default" w:ascii="Times New Roman" w:hAnsi="Times New Roman" w:eastAsia="仿宋" w:cs="Times New Roman"/>
                <w:sz w:val="24"/>
              </w:rPr>
              <w:t>5000元/吨，行权价格间距为50元/吨；5000元/吨＜行权价格</w:t>
            </w:r>
            <w:r>
              <w:rPr>
                <w:rFonts w:hint="eastAsia" w:ascii="仿宋" w:hAnsi="仿宋" w:eastAsia="仿宋" w:cs="仿宋"/>
                <w:sz w:val="24"/>
              </w:rPr>
              <w:t>≤</w:t>
            </w:r>
            <w:r>
              <w:rPr>
                <w:rFonts w:hint="default" w:ascii="Times New Roman" w:hAnsi="Times New Roman" w:eastAsia="仿宋" w:cs="Times New Roman"/>
                <w:sz w:val="24"/>
              </w:rPr>
              <w:t>10000元/吨，行权价格间距为100元/吨；行权价格＞10000元/吨，行权价格间距为200元/吨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行权方式</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美式。买方可在到期日前任一交易日的交易时间提交行权申请；买方可在到期日15:30之前提交行权申请、放弃申请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交易代码</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看涨期权：AP</w:t>
            </w:r>
            <w:r>
              <w:rPr>
                <w:rFonts w:hint="eastAsia" w:ascii="仿宋" w:hAnsi="仿宋" w:eastAsia="仿宋" w:cs="仿宋"/>
                <w:sz w:val="24"/>
              </w:rPr>
              <w:t>-</w:t>
            </w:r>
            <w:r>
              <w:rPr>
                <w:rFonts w:hint="default" w:ascii="Times New Roman" w:hAnsi="Times New Roman" w:eastAsia="仿宋" w:cs="Times New Roman"/>
                <w:sz w:val="24"/>
              </w:rPr>
              <w:t>合约月份</w:t>
            </w:r>
            <w:r>
              <w:rPr>
                <w:rFonts w:hint="eastAsia" w:ascii="仿宋" w:hAnsi="仿宋" w:eastAsia="仿宋" w:cs="仿宋"/>
                <w:sz w:val="24"/>
              </w:rPr>
              <w:t>-</w:t>
            </w:r>
            <w:r>
              <w:rPr>
                <w:rFonts w:hint="default" w:ascii="Times New Roman" w:hAnsi="Times New Roman" w:eastAsia="仿宋" w:cs="Times New Roman"/>
                <w:sz w:val="24"/>
              </w:rPr>
              <w:t>C</w:t>
            </w:r>
            <w:r>
              <w:rPr>
                <w:rFonts w:hint="eastAsia" w:ascii="仿宋" w:hAnsi="仿宋" w:eastAsia="仿宋" w:cs="仿宋"/>
                <w:sz w:val="24"/>
              </w:rPr>
              <w:t>-</w:t>
            </w:r>
            <w:r>
              <w:rPr>
                <w:rFonts w:hint="default" w:ascii="Times New Roman" w:hAnsi="Times New Roman" w:eastAsia="仿宋" w:cs="Times New Roman"/>
                <w:sz w:val="24"/>
              </w:rPr>
              <w:t>行权价格</w:t>
            </w:r>
          </w:p>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看跌期权：AP</w:t>
            </w:r>
            <w:r>
              <w:rPr>
                <w:rFonts w:hint="eastAsia" w:ascii="仿宋" w:hAnsi="仿宋" w:eastAsia="仿宋" w:cs="仿宋"/>
                <w:sz w:val="24"/>
              </w:rPr>
              <w:t>-</w:t>
            </w:r>
            <w:r>
              <w:rPr>
                <w:rFonts w:hint="default" w:ascii="Times New Roman" w:hAnsi="Times New Roman" w:eastAsia="仿宋" w:cs="Times New Roman"/>
                <w:sz w:val="24"/>
              </w:rPr>
              <w:t>合约月份</w:t>
            </w:r>
            <w:r>
              <w:rPr>
                <w:rFonts w:hint="eastAsia" w:ascii="仿宋" w:hAnsi="仿宋" w:eastAsia="仿宋" w:cs="仿宋"/>
                <w:sz w:val="24"/>
              </w:rPr>
              <w:t>-</w:t>
            </w:r>
            <w:r>
              <w:rPr>
                <w:rFonts w:hint="default" w:ascii="Times New Roman" w:hAnsi="Times New Roman" w:eastAsia="仿宋" w:cs="Times New Roman"/>
                <w:sz w:val="24"/>
              </w:rPr>
              <w:t>P</w:t>
            </w:r>
            <w:r>
              <w:rPr>
                <w:rFonts w:hint="eastAsia" w:ascii="仿宋" w:hAnsi="仿宋" w:eastAsia="仿宋" w:cs="仿宋"/>
                <w:sz w:val="24"/>
              </w:rPr>
              <w:t>-</w:t>
            </w:r>
            <w:r>
              <w:rPr>
                <w:rFonts w:hint="default" w:ascii="Times New Roman" w:hAnsi="Times New Roman" w:eastAsia="仿宋" w:cs="Times New Roman"/>
                <w:sz w:val="24"/>
              </w:rPr>
              <w:t>行权价格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上市交易所</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napToGrid w:val="0"/>
              <w:jc w:val="left"/>
              <w:rPr>
                <w:rFonts w:hint="default" w:ascii="Times New Roman" w:hAnsi="Times New Roman" w:eastAsia="仿宋" w:cs="Times New Roman"/>
                <w:sz w:val="24"/>
              </w:rPr>
            </w:pPr>
            <w:r>
              <w:rPr>
                <w:rFonts w:hint="default" w:ascii="Times New Roman" w:hAnsi="Times New Roman" w:eastAsia="仿宋" w:cs="Times New Roman"/>
                <w:sz w:val="24"/>
              </w:rPr>
              <w:t>郑州商品交易所</w:t>
            </w:r>
          </w:p>
        </w:tc>
      </w:tr>
    </w:tbl>
    <w:p>
      <w:pPr>
        <w:keepNext w:val="0"/>
        <w:keepLines w:val="0"/>
        <w:pageBreakBefore w:val="0"/>
        <w:widowControl w:val="0"/>
        <w:suppressAutoHyphens/>
        <w:kinsoku/>
        <w:wordWrap/>
        <w:overflowPunct/>
        <w:topLinePunct w:val="0"/>
        <w:autoSpaceDE/>
        <w:autoSpaceDN/>
        <w:bidi w:val="0"/>
        <w:snapToGrid/>
        <w:spacing w:line="240" w:lineRule="auto"/>
        <w:ind w:firstLine="640" w:firstLineChars="200"/>
        <w:jc w:val="left"/>
        <w:textAlignment w:val="auto"/>
        <w:outlineLvl w:val="1"/>
        <w:rPr>
          <w:rFonts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、主要条款设计说明</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（一）交易单位：1手苹果期货合约</w:t>
      </w:r>
    </w:p>
    <w:p>
      <w:pPr>
        <w:pStyle w:val="2"/>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期权合约的交易单位是指每一交易单位对应标的物数量。设置苹果期权交易单位为1手苹果期货合约，方便</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对冲期货部位风险。</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（二）报价单位：元（人民币）/吨</w:t>
      </w:r>
    </w:p>
    <w:p>
      <w:pPr>
        <w:pStyle w:val="2"/>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期权报价单位一般与标的期货报价单位保持一致。与苹果期货合约报价单位相同，苹果期权合约报价单位为元（人民币）/吨。</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（三）最小变动价位：0.5元/吨</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最小变动价位是指期权合约单位价格涨跌变动的最小值。从国内期权市场运行情况来看，Delta绝对值在0.2至0.5之间的虚值、平值期权合约较为活跃，即期权价格波动约为期货的1/5至1/2。苹果期权与期货最小变动价位（1元/吨）之比为1/2，在此范围内，可以满足市场交易需求。</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（四）涨跌停板幅度：与标的期货涨跌停板幅度相同</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苹果期权合约涨跌停板幅度与标的期货相同</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这里的相同是指绝对数相同，即期权合约的涨跌停板幅度按标的期货合约的结算价和价幅比例计算。</w:t>
      </w:r>
      <w:r>
        <w:rPr>
          <w:rFonts w:hint="default" w:ascii="Times New Roman" w:hAnsi="Times New Roman" w:eastAsia="仿宋" w:cs="Times New Roman"/>
          <w:sz w:val="32"/>
          <w:szCs w:val="32"/>
        </w:rPr>
        <w:t>当期权权利金小于涨跌停板幅度时，跌停板价格取期权合约的最小变动价位。</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（五）合约月份：两个近月+活跃月份</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苹果期权合约月份规定为两个近月及持仓量超过5000手（单边）的活跃月份，既能及时满足市场交易需求，也有利于集中市场流动性，提高市场运行效率。</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（六）最后交易日/到期日：标的期货合约交割月份前两个月最后一个日历日之前（含该日）的倒数第3个交易日</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苹果期权到期日为标的期货交割月份前两个月最后一个日历日之前（含该日）的倒数第3个交易日，与</w:t>
      </w:r>
      <w:r>
        <w:rPr>
          <w:rFonts w:hint="eastAsia" w:ascii="Times New Roman" w:hAnsi="Times New Roman" w:eastAsia="仿宋" w:cs="Times New Roman"/>
          <w:sz w:val="32"/>
          <w:szCs w:val="32"/>
          <w:lang w:eastAsia="zh-CN"/>
        </w:rPr>
        <w:t>郑州商品交易所</w:t>
      </w:r>
      <w:r>
        <w:rPr>
          <w:rFonts w:hint="default" w:ascii="Times New Roman" w:hAnsi="Times New Roman" w:eastAsia="仿宋" w:cs="Times New Roman"/>
          <w:sz w:val="32"/>
          <w:szCs w:val="32"/>
        </w:rPr>
        <w:t>已上市期权设计思路保持一致，即均在标的期货梯度限仓调整前到期，有利于</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者熟悉掌握。一方面，期权到期日尽量接近标的期货交割月，有利于企业更好地使用期权开展套期保值；另一方面，苹果期权在标的期货梯度限仓调整（期货交割月份前两个月最后一个日历日）前到期，可以降低期权行权对期货临近交割月运行的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（七）行权价格数量：覆盖标的期货合约上一交易日结算价上下浮动1.5倍当日涨跌停板幅度对应的价格范围</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行权价格数量过多，不利于集中市场流动性；数量过少，不能有效覆盖标的期货价格波动范围。将行权价格数量与标的期货涨跌停板幅度挂钩，在标的期货价格波动较大时，可以有效覆盖标的期货价格波动范围，满足</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对虚值、平值、实值期权的避险需求。随着标的期货价格变动，到期日前的每一个交易日将根据上一交易日标的期货结算价上下浮动1.5倍当日涨跌停板幅度对应的价格范围，增挂新行权价格的期权合约。到期日前一交易日闭市后不再挂牌新行权价格的期权合约。</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（八）行权价格间距：根据行权价格分段设置</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rPr>
        <w:t>行权价格间距的设计主要考虑期现货价格水平及波动程度。行权价格间距越小，相同行权价格范围内对应的期权合约数量越多，不利于集中市场流动性；行权价格间距越大，对应的期权合约数量越少，可供</w:t>
      </w:r>
      <w:r>
        <w:rPr>
          <w:rFonts w:hint="eastAsia" w:ascii="Times New Roman" w:hAnsi="Times New Roman" w:eastAsia="仿宋" w:cs="Times New Roman"/>
          <w:sz w:val="32"/>
          <w:lang w:eastAsia="zh-CN"/>
        </w:rPr>
        <w:t>交易者</w:t>
      </w:r>
      <w:r>
        <w:rPr>
          <w:rFonts w:hint="default" w:ascii="Times New Roman" w:hAnsi="Times New Roman" w:eastAsia="仿宋" w:cs="Times New Roman"/>
          <w:sz w:val="32"/>
        </w:rPr>
        <w:t>选择的行权价格也越少</w:t>
      </w:r>
      <w:r>
        <w:rPr>
          <w:rFonts w:hint="default" w:ascii="Times New Roman" w:hAnsi="Times New Roman" w:eastAsia="仿宋" w:cs="Times New Roman"/>
          <w:sz w:val="32"/>
          <w:szCs w:val="32"/>
        </w:rPr>
        <w:t>，</w:t>
      </w:r>
      <w:r>
        <w:rPr>
          <w:rFonts w:hint="default" w:ascii="Times New Roman" w:hAnsi="Times New Roman" w:eastAsia="仿宋" w:cs="Times New Roman"/>
          <w:sz w:val="32"/>
        </w:rPr>
        <w:t>难以满足不同</w:t>
      </w:r>
      <w:r>
        <w:rPr>
          <w:rFonts w:hint="eastAsia" w:ascii="Times New Roman" w:hAnsi="Times New Roman" w:eastAsia="仿宋" w:cs="Times New Roman"/>
          <w:sz w:val="32"/>
          <w:lang w:eastAsia="zh-CN"/>
        </w:rPr>
        <w:t>交易者的</w:t>
      </w:r>
      <w:r>
        <w:rPr>
          <w:rFonts w:hint="default" w:ascii="Times New Roman" w:hAnsi="Times New Roman" w:eastAsia="仿宋" w:cs="Times New Roman"/>
          <w:sz w:val="32"/>
        </w:rPr>
        <w:t>需要。</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sz w:val="32"/>
        </w:rPr>
      </w:pPr>
      <w:r>
        <w:rPr>
          <w:rFonts w:hint="eastAsia" w:ascii="仿宋" w:hAnsi="仿宋" w:eastAsia="仿宋"/>
          <w:sz w:val="32"/>
          <w:szCs w:val="32"/>
          <w:highlight w:val="none"/>
          <w:lang w:eastAsia="zh-CN"/>
        </w:rPr>
        <w:t>根据近年来苹果期现货价格主要运行区间，将</w:t>
      </w:r>
      <w:r>
        <w:rPr>
          <w:rFonts w:hint="default" w:ascii="Times New Roman" w:hAnsi="Times New Roman" w:eastAsia="仿宋" w:cs="Times New Roman"/>
          <w:sz w:val="32"/>
        </w:rPr>
        <w:t>苹果期权行权价格以5000元/吨和10000元/吨为节点分为三段，各段行权价格间距分别取50、100、200元/吨，与行权价格的比值在1%至2%之间，与国际成熟市场惯例基本一致。</w:t>
      </w:r>
    </w:p>
    <w:p>
      <w:pPr>
        <w:spacing w:line="360" w:lineRule="auto"/>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苹果期权行权价格间距（单位：元/吨）</w:t>
      </w:r>
    </w:p>
    <w:tbl>
      <w:tblPr>
        <w:tblStyle w:val="4"/>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022"/>
        <w:gridCol w:w="1773"/>
        <w:gridCol w:w="2363"/>
        <w:gridCol w:w="13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5000</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＞5000且</w:t>
            </w:r>
            <w:r>
              <w:rPr>
                <w:rFonts w:hint="eastAsia" w:ascii="仿宋" w:hAnsi="仿宋" w:eastAsia="仿宋" w:cs="仿宋"/>
                <w:sz w:val="24"/>
              </w:rPr>
              <w:t>≤</w:t>
            </w:r>
            <w:r>
              <w:rPr>
                <w:rFonts w:hint="default" w:ascii="Times New Roman" w:hAnsi="Times New Roman" w:eastAsia="仿宋" w:cs="Times New Roman"/>
                <w:sz w:val="24"/>
              </w:rPr>
              <w:t>10000</w:t>
            </w:r>
          </w:p>
        </w:tc>
        <w:tc>
          <w:tcPr>
            <w:tcW w:w="800" w:type="pct"/>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＞10000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行权价格间距</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50</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100</w:t>
            </w:r>
          </w:p>
        </w:tc>
        <w:tc>
          <w:tcPr>
            <w:tcW w:w="800" w:type="pct"/>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行权价格间距/行权价格</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1%</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1%且＜2%</w:t>
            </w:r>
          </w:p>
        </w:tc>
        <w:tc>
          <w:tcPr>
            <w:tcW w:w="800" w:type="pct"/>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r>
    </w:tbl>
    <w:p>
      <w:pPr>
        <w:keepNext w:val="0"/>
        <w:keepLines w:val="0"/>
        <w:pageBreakBefore w:val="0"/>
        <w:widowControl w:val="0"/>
        <w:kinsoku/>
        <w:overflowPunct/>
        <w:topLinePunct w:val="0"/>
        <w:autoSpaceDE/>
        <w:autoSpaceDN/>
        <w:bidi w:val="0"/>
        <w:snapToGrid/>
        <w:ind w:right="0" w:rightChars="0"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（九）行权方式：美式</w:t>
      </w:r>
    </w:p>
    <w:p>
      <w:pPr>
        <w:keepNext w:val="0"/>
        <w:keepLines w:val="0"/>
        <w:pageBreakBefore w:val="0"/>
        <w:widowControl w:val="0"/>
        <w:kinsoku/>
        <w:overflowPunct/>
        <w:topLinePunct w:val="0"/>
        <w:autoSpaceDE/>
        <w:autoSpaceDN/>
        <w:bidi w:val="0"/>
        <w:adjustRightInd w:val="0"/>
        <w:snapToGrid/>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期权行权方式可分为美式与欧式。对于期权买方，美式期权行权可在到期日及之前任一交易日进行，而欧式期权行权只能在到期日进行。</w:t>
      </w:r>
    </w:p>
    <w:p>
      <w:pPr>
        <w:keepNext w:val="0"/>
        <w:keepLines w:val="0"/>
        <w:pageBreakBefore w:val="0"/>
        <w:widowControl w:val="0"/>
        <w:kinsoku/>
        <w:overflowPunct/>
        <w:topLinePunct w:val="0"/>
        <w:autoSpaceDE/>
        <w:autoSpaceDN/>
        <w:bidi w:val="0"/>
        <w:adjustRightInd w:val="0"/>
        <w:snapToGrid/>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国际商品期权一般为美式期权。美式期权行权方式有利于保持期权和期货价格更强的关联性，给</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者提供灵活的选择，可以降低期权集中到期对标的期货市场运行的影响。</w:t>
      </w:r>
    </w:p>
    <w:p>
      <w:pPr>
        <w:keepNext w:val="0"/>
        <w:keepLines w:val="0"/>
        <w:pageBreakBefore w:val="0"/>
        <w:widowControl w:val="0"/>
        <w:kinsoku/>
        <w:overflowPunct/>
        <w:topLinePunct w:val="0"/>
        <w:autoSpaceDE/>
        <w:autoSpaceDN/>
        <w:bidi w:val="0"/>
        <w:adjustRightInd w:val="0"/>
        <w:snapToGrid/>
        <w:ind w:right="0" w:rightChars="0"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根据已上市期权品种运行情况</w:t>
      </w:r>
      <w:r>
        <w:rPr>
          <w:rFonts w:hint="default" w:ascii="Times New Roman" w:hAnsi="Times New Roman" w:eastAsia="仿宋" w:cs="Times New Roman"/>
          <w:sz w:val="32"/>
          <w:szCs w:val="32"/>
        </w:rPr>
        <w:t>，市场存在提前行权需求。借鉴国际市场和</w:t>
      </w:r>
      <w:r>
        <w:rPr>
          <w:rFonts w:hint="eastAsia" w:ascii="Times New Roman" w:hAnsi="Times New Roman" w:eastAsia="仿宋" w:cs="Times New Roman"/>
          <w:sz w:val="32"/>
          <w:szCs w:val="32"/>
          <w:lang w:eastAsia="zh-CN"/>
        </w:rPr>
        <w:t>已上市</w:t>
      </w:r>
      <w:r>
        <w:rPr>
          <w:rFonts w:hint="default" w:ascii="Times New Roman" w:hAnsi="Times New Roman" w:eastAsia="仿宋" w:cs="Times New Roman"/>
          <w:sz w:val="32"/>
          <w:szCs w:val="32"/>
        </w:rPr>
        <w:t>期权运行经验，苹果期权也采用美式期权。</w:t>
      </w:r>
    </w:p>
    <w:p>
      <w:pPr>
        <w:keepNext w:val="0"/>
        <w:keepLines w:val="0"/>
        <w:pageBreakBefore w:val="0"/>
        <w:widowControl w:val="0"/>
        <w:kinsoku/>
        <w:overflowPunct/>
        <w:topLinePunct w:val="0"/>
        <w:autoSpaceDE/>
        <w:autoSpaceDN/>
        <w:bidi w:val="0"/>
        <w:snapToGrid/>
        <w:ind w:right="0" w:rightChars="0" w:firstLine="640" w:firstLineChars="200"/>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（十）交易代码：AP-合约月份-C（P）-行权价格</w:t>
      </w:r>
    </w:p>
    <w:p>
      <w:pPr>
        <w:keepNext w:val="0"/>
        <w:keepLines w:val="0"/>
        <w:pageBreakBefore w:val="0"/>
        <w:widowControl w:val="0"/>
        <w:kinsoku/>
        <w:wordWrap w:val="0"/>
        <w:overflowPunct/>
        <w:topLinePunct w:val="0"/>
        <w:autoSpaceDE/>
        <w:autoSpaceDN/>
        <w:bidi w:val="0"/>
        <w:snapToGrid/>
        <w:ind w:right="0" w:rightChars="0" w:firstLine="640" w:firstLineChars="200"/>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 w:cs="Times New Roman"/>
          <w:sz w:val="32"/>
          <w:szCs w:val="32"/>
        </w:rPr>
        <w:t>苹果期权合约沿用国内商品期权通行的交易代码组成方式，与已上市期权交易代码组成方式一致，便于</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理解与掌握。其中，看涨期权（Call）用大写英文字母C表示，看跌期权（Put）用大写英文字母P表示。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
        <w:snapToGrid w:val="0"/>
        <w:rPr>
          <w:rFonts w:hint="eastAsia" w:ascii="仿宋" w:hAnsi="仿宋" w:eastAsia="仿宋" w:cs="仿宋"/>
          <w:lang w:val="en-US" w:eastAsia="zh-CN"/>
        </w:rPr>
      </w:pPr>
      <w:r>
        <w:rPr>
          <w:rStyle w:val="6"/>
          <w:rFonts w:hint="default" w:ascii="Times New Roman" w:hAnsi="Times New Roman" w:eastAsia="仿宋" w:cs="Times New Roman"/>
        </w:rPr>
        <w:footnoteRef/>
      </w:r>
      <w:r>
        <w:rPr>
          <w:rFonts w:hint="eastAsia" w:ascii="仿宋" w:hAnsi="仿宋" w:eastAsia="仿宋" w:cs="仿宋"/>
        </w:rPr>
        <w:t xml:space="preserve"> 鲜苹果简称苹果，为表述方便，除合约文本外，</w:t>
      </w:r>
      <w:r>
        <w:rPr>
          <w:rFonts w:hint="eastAsia" w:ascii="仿宋" w:hAnsi="仿宋" w:eastAsia="仿宋" w:cs="仿宋"/>
          <w:lang w:eastAsia="zh-CN"/>
        </w:rPr>
        <w:t>其他</w:t>
      </w:r>
      <w:r>
        <w:rPr>
          <w:rFonts w:hint="eastAsia" w:ascii="仿宋" w:hAnsi="仿宋" w:eastAsia="仿宋" w:cs="仿宋"/>
        </w:rPr>
        <w:t>均使用简称</w:t>
      </w:r>
      <w:r>
        <w:rPr>
          <w:rFonts w:hint="eastAsia" w:ascii="仿宋" w:hAnsi="仿宋" w:eastAsia="仿宋" w:cs="仿宋"/>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06F47"/>
    <w:rsid w:val="02220782"/>
    <w:rsid w:val="0BE4564E"/>
    <w:rsid w:val="0EB17C89"/>
    <w:rsid w:val="1829275F"/>
    <w:rsid w:val="182A1252"/>
    <w:rsid w:val="1A4D0317"/>
    <w:rsid w:val="27355C36"/>
    <w:rsid w:val="29DC6918"/>
    <w:rsid w:val="364D5A11"/>
    <w:rsid w:val="42BC2D37"/>
    <w:rsid w:val="4CCE778A"/>
    <w:rsid w:val="51BF2250"/>
    <w:rsid w:val="676F5287"/>
    <w:rsid w:val="6E006F47"/>
    <w:rsid w:val="795F3794"/>
    <w:rsid w:val="7D7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359" w:firstLineChars="171"/>
    </w:pPr>
    <w:rPr>
      <w:rFonts w:ascii="Calibri" w:hAnsi="Calibri" w:eastAsia="宋体" w:cs="Times New Roman"/>
    </w:rPr>
  </w:style>
  <w:style w:type="paragraph" w:styleId="3">
    <w:name w:val="footnote text"/>
    <w:basedOn w:val="1"/>
    <w:unhideWhenUsed/>
    <w:qFormat/>
    <w:uiPriority w:val="99"/>
    <w:pPr>
      <w:snapToGrid w:val="0"/>
      <w:jc w:val="left"/>
    </w:pPr>
    <w:rPr>
      <w:sz w:val="18"/>
    </w:rPr>
  </w:style>
  <w:style w:type="character" w:styleId="6">
    <w:name w:val="footnote reference"/>
    <w:basedOn w:val="5"/>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2023-07-03T05:59:00Z</dcterms:created>
  <dc:creator>仇一萌</dc:creator>
  <cp:lastModifiedBy>仇一萌</cp:lastModifiedBy>
  <dcterms:modified xsi:type="dcterms:W3CDTF">2023-07-03T05:59:47Z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C8625690E6574A63B9460669D9FA03B3</vt:lpwstr>
  </property>
</Properties>
</file>